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D720A" w14:textId="77777777" w:rsidR="00A81930" w:rsidRPr="005E2493" w:rsidRDefault="002D08BE" w:rsidP="1CCA77CE">
      <w:pPr>
        <w:pStyle w:val="ListParagraph"/>
        <w:numPr>
          <w:ilvl w:val="0"/>
          <w:numId w:val="1"/>
        </w:numPr>
        <w:spacing w:after="0" w:line="360" w:lineRule="auto"/>
        <w:ind w:left="567" w:hanging="567"/>
        <w:rPr>
          <w:rFonts w:ascii="Arial" w:hAnsi="Arial" w:cs="Arial"/>
          <w:sz w:val="24"/>
          <w:szCs w:val="24"/>
        </w:rPr>
      </w:pPr>
      <w:r w:rsidRPr="005E2493">
        <w:rPr>
          <w:rFonts w:ascii="Arial" w:hAnsi="Arial" w:cs="Arial"/>
          <w:sz w:val="24"/>
          <w:szCs w:val="24"/>
        </w:rPr>
        <w:t xml:space="preserve">The University has made provision for students, in appropriate circumstances, to transfer their research degree registration from another university to Queen’s University Belfast. </w:t>
      </w:r>
      <w:r w:rsidR="00A81930" w:rsidRPr="005E2493">
        <w:rPr>
          <w:rFonts w:ascii="Arial" w:hAnsi="Arial" w:cs="Arial"/>
          <w:sz w:val="24"/>
          <w:szCs w:val="24"/>
          <w:shd w:val="clear" w:color="auto" w:fill="FFFFFF"/>
        </w:rPr>
        <w:t>However, this is subject to formal consideration and approval through the University admissions processes.</w:t>
      </w:r>
    </w:p>
    <w:p w14:paraId="740CE3FD" w14:textId="77777777" w:rsidR="00A81930" w:rsidRPr="005E2493" w:rsidRDefault="00A81930" w:rsidP="00203EC5">
      <w:pPr>
        <w:pStyle w:val="ListParagraph"/>
        <w:numPr>
          <w:ilvl w:val="0"/>
          <w:numId w:val="1"/>
        </w:numPr>
        <w:autoSpaceDE w:val="0"/>
        <w:autoSpaceDN w:val="0"/>
        <w:adjustRightInd w:val="0"/>
        <w:spacing w:after="0" w:line="360" w:lineRule="auto"/>
        <w:ind w:left="567" w:hanging="567"/>
        <w:contextualSpacing w:val="0"/>
        <w:rPr>
          <w:rFonts w:ascii="Arial" w:hAnsi="Arial" w:cs="Arial"/>
          <w:sz w:val="24"/>
          <w:szCs w:val="24"/>
        </w:rPr>
      </w:pPr>
      <w:r w:rsidRPr="005E2493">
        <w:rPr>
          <w:rFonts w:ascii="Arial" w:hAnsi="Arial" w:cs="Arial"/>
          <w:sz w:val="24"/>
          <w:szCs w:val="24"/>
        </w:rPr>
        <w:t xml:space="preserve">Most transfer of registration cases involve a supervisor taking up an appointment at Queen’s and bringing with them students already registered elsewhere under their supervision. </w:t>
      </w:r>
    </w:p>
    <w:p w14:paraId="2D935294" w14:textId="4BDF050C" w:rsidR="00A81930" w:rsidRPr="005E2493" w:rsidRDefault="00A81930"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eastAsia="Times New Roman" w:hAnsi="Arial" w:cs="Arial"/>
          <w:sz w:val="24"/>
          <w:szCs w:val="24"/>
          <w:lang w:eastAsia="en-GB"/>
        </w:rPr>
        <w:t>The research studies already undertaken at the original institution will be considered and will count towards the period of study for the research degree at Queen’s</w:t>
      </w:r>
      <w:r w:rsidR="00177037" w:rsidRPr="005E2493">
        <w:rPr>
          <w:rFonts w:ascii="Arial" w:eastAsia="Times New Roman" w:hAnsi="Arial" w:cs="Arial"/>
          <w:sz w:val="24"/>
          <w:szCs w:val="24"/>
          <w:lang w:eastAsia="en-GB"/>
        </w:rPr>
        <w:t>, discounting</w:t>
      </w:r>
      <w:r w:rsidR="004C4626" w:rsidRPr="005E2493">
        <w:rPr>
          <w:rFonts w:ascii="Arial" w:eastAsia="Times New Roman" w:hAnsi="Arial" w:cs="Arial"/>
          <w:sz w:val="24"/>
          <w:szCs w:val="24"/>
          <w:lang w:eastAsia="en-GB"/>
        </w:rPr>
        <w:t xml:space="preserve"> any periods of temporary withdrawal. </w:t>
      </w:r>
    </w:p>
    <w:p w14:paraId="07D3C060" w14:textId="5B9F0C15" w:rsidR="00A81930" w:rsidRPr="005E2493" w:rsidRDefault="00B348B5"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eastAsia="Times New Roman" w:hAnsi="Arial" w:cs="Arial"/>
          <w:sz w:val="24"/>
          <w:szCs w:val="24"/>
          <w:lang w:eastAsia="en-GB"/>
        </w:rPr>
        <w:t>Students</w:t>
      </w:r>
      <w:r w:rsidR="00A81930" w:rsidRPr="005E2493">
        <w:rPr>
          <w:rFonts w:ascii="Arial" w:eastAsia="Times New Roman" w:hAnsi="Arial" w:cs="Arial"/>
          <w:sz w:val="24"/>
          <w:szCs w:val="24"/>
          <w:lang w:eastAsia="en-GB"/>
        </w:rPr>
        <w:t xml:space="preserve"> must register at Queen’s, and pay the appropriate fees, for their programme of study for a minimum of 12 months full-time or 24 months part-time. </w:t>
      </w:r>
    </w:p>
    <w:p w14:paraId="6187D6B9" w14:textId="6576E7F1" w:rsidR="00562C4C" w:rsidRPr="005E2493" w:rsidRDefault="00B348B5"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eastAsia="Times New Roman" w:hAnsi="Arial" w:cs="Arial"/>
          <w:sz w:val="24"/>
          <w:szCs w:val="24"/>
          <w:lang w:eastAsia="en-GB"/>
        </w:rPr>
        <w:t>Students who have</w:t>
      </w:r>
      <w:r w:rsidR="00A81930" w:rsidRPr="005E2493">
        <w:rPr>
          <w:rFonts w:ascii="Arial" w:eastAsia="Times New Roman" w:hAnsi="Arial" w:cs="Arial"/>
          <w:sz w:val="24"/>
          <w:szCs w:val="24"/>
          <w:lang w:eastAsia="en-GB"/>
        </w:rPr>
        <w:t xml:space="preserve"> already completed more than 24 months full-time or </w:t>
      </w:r>
      <w:r w:rsidR="004C4626" w:rsidRPr="005E2493">
        <w:rPr>
          <w:rFonts w:ascii="Arial" w:eastAsia="Times New Roman" w:hAnsi="Arial" w:cs="Arial"/>
          <w:sz w:val="24"/>
          <w:szCs w:val="24"/>
          <w:lang w:eastAsia="en-GB"/>
        </w:rPr>
        <w:t xml:space="preserve">48 </w:t>
      </w:r>
      <w:r w:rsidR="00A81930" w:rsidRPr="005E2493">
        <w:rPr>
          <w:rFonts w:ascii="Arial" w:eastAsia="Times New Roman" w:hAnsi="Arial" w:cs="Arial"/>
          <w:sz w:val="24"/>
          <w:szCs w:val="24"/>
          <w:lang w:eastAsia="en-GB"/>
        </w:rPr>
        <w:t xml:space="preserve">months part-time at the original institution would not be eligible for transfer. </w:t>
      </w:r>
      <w:r w:rsidRPr="005E2493">
        <w:rPr>
          <w:rFonts w:ascii="Arial" w:eastAsia="Times New Roman" w:hAnsi="Arial" w:cs="Arial"/>
          <w:sz w:val="24"/>
          <w:szCs w:val="24"/>
          <w:lang w:eastAsia="en-GB"/>
        </w:rPr>
        <w:t>S</w:t>
      </w:r>
      <w:r w:rsidR="00CF6D30" w:rsidRPr="005E2493">
        <w:rPr>
          <w:rFonts w:ascii="Arial" w:eastAsia="Times New Roman" w:hAnsi="Arial" w:cs="Arial"/>
          <w:sz w:val="24"/>
          <w:szCs w:val="24"/>
          <w:lang w:eastAsia="en-GB"/>
        </w:rPr>
        <w:t>tudent</w:t>
      </w:r>
      <w:r w:rsidR="00177037" w:rsidRPr="005E2493">
        <w:rPr>
          <w:rFonts w:ascii="Arial" w:eastAsia="Times New Roman" w:hAnsi="Arial" w:cs="Arial"/>
          <w:sz w:val="24"/>
          <w:szCs w:val="24"/>
          <w:lang w:eastAsia="en-GB"/>
        </w:rPr>
        <w:t>s</w:t>
      </w:r>
      <w:r w:rsidR="00CF6D30" w:rsidRPr="005E2493">
        <w:rPr>
          <w:rFonts w:ascii="Arial" w:eastAsia="Times New Roman" w:hAnsi="Arial" w:cs="Arial"/>
          <w:sz w:val="24"/>
          <w:szCs w:val="24"/>
          <w:lang w:eastAsia="en-GB"/>
        </w:rPr>
        <w:t xml:space="preserve"> who ha</w:t>
      </w:r>
      <w:r w:rsidR="00177037" w:rsidRPr="005E2493">
        <w:rPr>
          <w:rFonts w:ascii="Arial" w:eastAsia="Times New Roman" w:hAnsi="Arial" w:cs="Arial"/>
          <w:sz w:val="24"/>
          <w:szCs w:val="24"/>
          <w:lang w:eastAsia="en-GB"/>
        </w:rPr>
        <w:t>ve</w:t>
      </w:r>
      <w:r w:rsidR="00CF6D30" w:rsidRPr="005E2493">
        <w:rPr>
          <w:rFonts w:ascii="Arial" w:eastAsia="Times New Roman" w:hAnsi="Arial" w:cs="Arial"/>
          <w:sz w:val="24"/>
          <w:szCs w:val="24"/>
          <w:lang w:eastAsia="en-GB"/>
        </w:rPr>
        <w:t xml:space="preserve"> gone beyond this</w:t>
      </w:r>
      <w:r w:rsidR="00177037" w:rsidRPr="005E2493">
        <w:rPr>
          <w:rFonts w:ascii="Arial" w:eastAsia="Times New Roman" w:hAnsi="Arial" w:cs="Arial"/>
          <w:sz w:val="24"/>
          <w:szCs w:val="24"/>
          <w:lang w:eastAsia="en-GB"/>
        </w:rPr>
        <w:t xml:space="preserve"> limit</w:t>
      </w:r>
      <w:r w:rsidRPr="005E2493">
        <w:rPr>
          <w:rFonts w:ascii="Arial" w:eastAsia="Times New Roman" w:hAnsi="Arial" w:cs="Arial"/>
          <w:sz w:val="24"/>
          <w:szCs w:val="24"/>
          <w:lang w:eastAsia="en-GB"/>
        </w:rPr>
        <w:t xml:space="preserve"> </w:t>
      </w:r>
      <w:r w:rsidR="00CF6D30" w:rsidRPr="005E2493">
        <w:rPr>
          <w:rFonts w:ascii="Arial" w:eastAsia="Times New Roman" w:hAnsi="Arial" w:cs="Arial"/>
          <w:sz w:val="24"/>
          <w:szCs w:val="24"/>
          <w:lang w:eastAsia="en-GB"/>
        </w:rPr>
        <w:t>should remain registered at their existing institution and</w:t>
      </w:r>
      <w:r w:rsidR="007E1931" w:rsidRPr="005E2493">
        <w:rPr>
          <w:rFonts w:ascii="Arial" w:eastAsia="Times New Roman" w:hAnsi="Arial" w:cs="Arial"/>
          <w:sz w:val="24"/>
          <w:szCs w:val="24"/>
          <w:lang w:eastAsia="en-GB"/>
        </w:rPr>
        <w:t>, where appropriate,</w:t>
      </w:r>
      <w:r w:rsidR="00CF6D30" w:rsidRPr="005E2493">
        <w:rPr>
          <w:rFonts w:ascii="Arial" w:eastAsia="Times New Roman" w:hAnsi="Arial" w:cs="Arial"/>
          <w:sz w:val="24"/>
          <w:szCs w:val="24"/>
          <w:lang w:eastAsia="en-GB"/>
        </w:rPr>
        <w:t xml:space="preserve"> the </w:t>
      </w:r>
      <w:r w:rsidR="009631FA" w:rsidRPr="005E2493">
        <w:rPr>
          <w:rFonts w:ascii="Arial" w:eastAsia="Times New Roman" w:hAnsi="Arial" w:cs="Arial"/>
          <w:sz w:val="24"/>
          <w:szCs w:val="24"/>
          <w:lang w:eastAsia="en-GB"/>
        </w:rPr>
        <w:t xml:space="preserve">supervisor </w:t>
      </w:r>
      <w:r w:rsidR="00CF6AB2" w:rsidRPr="005E2493">
        <w:rPr>
          <w:rFonts w:ascii="Arial" w:eastAsia="Times New Roman" w:hAnsi="Arial" w:cs="Arial"/>
          <w:sz w:val="24"/>
          <w:szCs w:val="24"/>
          <w:lang w:eastAsia="en-GB"/>
        </w:rPr>
        <w:t xml:space="preserve">based at Queen’s </w:t>
      </w:r>
      <w:r w:rsidR="009631FA" w:rsidRPr="005E2493">
        <w:rPr>
          <w:rFonts w:ascii="Arial" w:eastAsia="Times New Roman" w:hAnsi="Arial" w:cs="Arial"/>
          <w:sz w:val="24"/>
          <w:szCs w:val="24"/>
          <w:lang w:eastAsia="en-GB"/>
        </w:rPr>
        <w:t>may act as an external supervisor.</w:t>
      </w:r>
    </w:p>
    <w:p w14:paraId="33456BB9" w14:textId="14504D50" w:rsidR="00562C4C" w:rsidRPr="005E2493" w:rsidRDefault="00B348B5"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hAnsi="Arial" w:cs="Arial"/>
          <w:sz w:val="24"/>
          <w:szCs w:val="24"/>
        </w:rPr>
        <w:t>Students</w:t>
      </w:r>
      <w:r w:rsidR="00562C4C" w:rsidRPr="005E2493">
        <w:rPr>
          <w:rFonts w:ascii="Arial" w:hAnsi="Arial" w:cs="Arial"/>
          <w:sz w:val="24"/>
          <w:szCs w:val="24"/>
        </w:rPr>
        <w:t xml:space="preserve"> must be of good </w:t>
      </w:r>
      <w:r w:rsidR="00177037" w:rsidRPr="005E2493">
        <w:rPr>
          <w:rFonts w:ascii="Arial" w:hAnsi="Arial" w:cs="Arial"/>
          <w:sz w:val="24"/>
          <w:szCs w:val="24"/>
        </w:rPr>
        <w:t xml:space="preserve">academic </w:t>
      </w:r>
      <w:r w:rsidR="00562C4C" w:rsidRPr="005E2493">
        <w:rPr>
          <w:rFonts w:ascii="Arial" w:hAnsi="Arial" w:cs="Arial"/>
          <w:sz w:val="24"/>
          <w:szCs w:val="24"/>
        </w:rPr>
        <w:t>standing with the o</w:t>
      </w:r>
      <w:r w:rsidRPr="005E2493">
        <w:rPr>
          <w:rFonts w:ascii="Arial" w:hAnsi="Arial" w:cs="Arial"/>
          <w:sz w:val="24"/>
          <w:szCs w:val="24"/>
        </w:rPr>
        <w:t>riginal</w:t>
      </w:r>
      <w:r w:rsidR="00562C4C" w:rsidRPr="005E2493">
        <w:rPr>
          <w:rFonts w:ascii="Arial" w:hAnsi="Arial" w:cs="Arial"/>
          <w:sz w:val="24"/>
          <w:szCs w:val="24"/>
        </w:rPr>
        <w:t xml:space="preserve"> institution.</w:t>
      </w:r>
    </w:p>
    <w:p w14:paraId="09425CFF" w14:textId="38F6DAB6" w:rsidR="009631FA" w:rsidRPr="005E2493" w:rsidRDefault="00E217F0"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hAnsi="Arial" w:cs="Arial"/>
          <w:sz w:val="24"/>
          <w:szCs w:val="24"/>
        </w:rPr>
        <w:t>The student/supervisor is responsible for ensuring that their funder’s terms permit transfer of their award between institutions. If the student is transferring to Queen</w:t>
      </w:r>
      <w:r w:rsidR="00F273C1" w:rsidRPr="005E2493">
        <w:rPr>
          <w:rFonts w:ascii="Arial" w:hAnsi="Arial" w:cs="Arial"/>
          <w:sz w:val="24"/>
          <w:szCs w:val="24"/>
        </w:rPr>
        <w:t>’</w:t>
      </w:r>
      <w:r w:rsidRPr="005E2493">
        <w:rPr>
          <w:rFonts w:ascii="Arial" w:hAnsi="Arial" w:cs="Arial"/>
          <w:sz w:val="24"/>
          <w:szCs w:val="24"/>
        </w:rPr>
        <w:t xml:space="preserve">s with funding that will be administered through the </w:t>
      </w:r>
      <w:r w:rsidR="008E6B45" w:rsidRPr="005E2493">
        <w:rPr>
          <w:rFonts w:ascii="Arial" w:hAnsi="Arial" w:cs="Arial"/>
          <w:sz w:val="24"/>
          <w:szCs w:val="24"/>
        </w:rPr>
        <w:t>University’s</w:t>
      </w:r>
      <w:r w:rsidRPr="005E2493">
        <w:rPr>
          <w:rFonts w:ascii="Arial" w:hAnsi="Arial" w:cs="Arial"/>
          <w:sz w:val="24"/>
          <w:szCs w:val="24"/>
        </w:rPr>
        <w:t xml:space="preserve"> </w:t>
      </w:r>
      <w:r w:rsidR="009859D1" w:rsidRPr="005E2493">
        <w:rPr>
          <w:rFonts w:ascii="Arial" w:hAnsi="Arial" w:cs="Arial"/>
          <w:sz w:val="24"/>
          <w:szCs w:val="24"/>
        </w:rPr>
        <w:t>systems,</w:t>
      </w:r>
      <w:r w:rsidRPr="005E2493">
        <w:rPr>
          <w:rFonts w:ascii="Arial" w:hAnsi="Arial" w:cs="Arial"/>
          <w:sz w:val="24"/>
          <w:szCs w:val="24"/>
        </w:rPr>
        <w:t xml:space="preserve"> then the school must notify the Postgraduate Awards Team to facilitate payment.</w:t>
      </w:r>
    </w:p>
    <w:p w14:paraId="46EDC4C1" w14:textId="7BD6140B" w:rsidR="00AD3B17" w:rsidRPr="005E2493" w:rsidRDefault="00AD3B17"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hAnsi="Arial" w:cs="Arial"/>
          <w:sz w:val="24"/>
          <w:szCs w:val="24"/>
        </w:rPr>
        <w:t xml:space="preserve">Students that require a UK visa and/or an ATAS certificate to study must ensure they hold the correct permissions at the point of registration.  These permissions must relate to Queen’s University Belfast and not </w:t>
      </w:r>
      <w:r w:rsidR="006B1018" w:rsidRPr="005E2493">
        <w:rPr>
          <w:rFonts w:ascii="Arial" w:hAnsi="Arial" w:cs="Arial"/>
          <w:sz w:val="24"/>
          <w:szCs w:val="24"/>
        </w:rPr>
        <w:t xml:space="preserve">to </w:t>
      </w:r>
      <w:r w:rsidRPr="005E2493">
        <w:rPr>
          <w:rFonts w:ascii="Arial" w:hAnsi="Arial" w:cs="Arial"/>
          <w:sz w:val="24"/>
          <w:szCs w:val="24"/>
        </w:rPr>
        <w:t>the student’s previous institution (i.e.</w:t>
      </w:r>
      <w:r w:rsidR="00F6439B" w:rsidRPr="005E2493">
        <w:rPr>
          <w:rFonts w:ascii="Arial" w:hAnsi="Arial" w:cs="Arial"/>
          <w:sz w:val="24"/>
          <w:szCs w:val="24"/>
        </w:rPr>
        <w:t xml:space="preserve"> a</w:t>
      </w:r>
      <w:r w:rsidRPr="005E2493">
        <w:rPr>
          <w:rFonts w:ascii="Arial" w:hAnsi="Arial" w:cs="Arial"/>
          <w:sz w:val="24"/>
          <w:szCs w:val="24"/>
        </w:rPr>
        <w:t xml:space="preserve"> </w:t>
      </w:r>
      <w:r w:rsidR="00907568" w:rsidRPr="005E2493">
        <w:rPr>
          <w:rFonts w:ascii="Arial" w:hAnsi="Arial" w:cs="Arial"/>
          <w:sz w:val="24"/>
          <w:szCs w:val="24"/>
        </w:rPr>
        <w:t xml:space="preserve">Student </w:t>
      </w:r>
      <w:r w:rsidRPr="005E2493">
        <w:rPr>
          <w:rFonts w:ascii="Arial" w:hAnsi="Arial" w:cs="Arial"/>
          <w:sz w:val="24"/>
          <w:szCs w:val="24"/>
        </w:rPr>
        <w:t>visa sponsored by Queen’s</w:t>
      </w:r>
      <w:r w:rsidR="00167753" w:rsidRPr="005E2493">
        <w:rPr>
          <w:rFonts w:ascii="Arial" w:hAnsi="Arial" w:cs="Arial"/>
          <w:sz w:val="24"/>
          <w:szCs w:val="24"/>
        </w:rPr>
        <w:t>, an</w:t>
      </w:r>
      <w:r w:rsidRPr="005E2493">
        <w:rPr>
          <w:rFonts w:ascii="Arial" w:hAnsi="Arial" w:cs="Arial"/>
          <w:sz w:val="24"/>
          <w:szCs w:val="24"/>
        </w:rPr>
        <w:t xml:space="preserve"> ATAS </w:t>
      </w:r>
      <w:r w:rsidR="00167753" w:rsidRPr="005E2493">
        <w:rPr>
          <w:rFonts w:ascii="Arial" w:hAnsi="Arial" w:cs="Arial"/>
          <w:sz w:val="24"/>
          <w:szCs w:val="24"/>
        </w:rPr>
        <w:t xml:space="preserve">certificate </w:t>
      </w:r>
      <w:r w:rsidRPr="005E2493">
        <w:rPr>
          <w:rFonts w:ascii="Arial" w:hAnsi="Arial" w:cs="Arial"/>
          <w:sz w:val="24"/>
          <w:szCs w:val="24"/>
        </w:rPr>
        <w:t>issued to permit postgraduate research at Queen’s University Belfast).</w:t>
      </w:r>
    </w:p>
    <w:p w14:paraId="70DCB904" w14:textId="77777777" w:rsidR="00A81930" w:rsidRPr="005E2493" w:rsidRDefault="00A81930"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hAnsi="Arial" w:cs="Arial"/>
          <w:sz w:val="24"/>
          <w:szCs w:val="24"/>
          <w:shd w:val="clear" w:color="auto" w:fill="FFFCF5"/>
        </w:rPr>
        <w:t>I</w:t>
      </w:r>
      <w:r w:rsidRPr="005E2493">
        <w:rPr>
          <w:rFonts w:ascii="Arial" w:eastAsia="Times New Roman" w:hAnsi="Arial" w:cs="Arial"/>
          <w:sz w:val="24"/>
          <w:szCs w:val="24"/>
          <w:lang w:eastAsia="en-GB"/>
        </w:rPr>
        <w:t>n addition to the standard application requirements, the following documents must also be supplied:</w:t>
      </w:r>
    </w:p>
    <w:p w14:paraId="5EB2CCDB" w14:textId="08286376" w:rsidR="00A81930" w:rsidRPr="005E2493" w:rsidRDefault="00A81930" w:rsidP="00203EC5">
      <w:pPr>
        <w:pStyle w:val="ListParagraph"/>
        <w:numPr>
          <w:ilvl w:val="0"/>
          <w:numId w:val="6"/>
        </w:numPr>
        <w:spacing w:after="0" w:line="360" w:lineRule="auto"/>
        <w:ind w:hanging="720"/>
        <w:contextualSpacing w:val="0"/>
        <w:rPr>
          <w:rFonts w:ascii="Arial" w:eastAsia="Times New Roman" w:hAnsi="Arial" w:cs="Arial"/>
          <w:sz w:val="24"/>
          <w:szCs w:val="24"/>
          <w:lang w:eastAsia="en-GB"/>
        </w:rPr>
      </w:pPr>
      <w:r w:rsidRPr="005E2493">
        <w:rPr>
          <w:rFonts w:ascii="Arial" w:eastAsia="Times New Roman" w:hAnsi="Arial" w:cs="Arial"/>
          <w:sz w:val="24"/>
          <w:szCs w:val="24"/>
          <w:lang w:eastAsia="en-GB"/>
        </w:rPr>
        <w:t xml:space="preserve">Formal release of all Intellectual Property (IP) from original </w:t>
      </w:r>
      <w:r w:rsidR="009859D1" w:rsidRPr="005E2493">
        <w:rPr>
          <w:rFonts w:ascii="Arial" w:eastAsia="Times New Roman" w:hAnsi="Arial" w:cs="Arial"/>
          <w:sz w:val="24"/>
          <w:szCs w:val="24"/>
          <w:lang w:eastAsia="en-GB"/>
        </w:rPr>
        <w:t>institution.</w:t>
      </w:r>
    </w:p>
    <w:p w14:paraId="0C69D7E3" w14:textId="6847FA17" w:rsidR="00A81930" w:rsidRPr="005E2493" w:rsidRDefault="00A81930" w:rsidP="00203EC5">
      <w:pPr>
        <w:pStyle w:val="ListParagraph"/>
        <w:numPr>
          <w:ilvl w:val="0"/>
          <w:numId w:val="6"/>
        </w:numPr>
        <w:spacing w:after="0" w:line="360" w:lineRule="auto"/>
        <w:ind w:hanging="720"/>
        <w:contextualSpacing w:val="0"/>
        <w:rPr>
          <w:rFonts w:ascii="Arial" w:eastAsia="Times New Roman" w:hAnsi="Arial" w:cs="Arial"/>
          <w:sz w:val="24"/>
          <w:szCs w:val="24"/>
          <w:lang w:eastAsia="en-GB"/>
        </w:rPr>
      </w:pPr>
      <w:r w:rsidRPr="005E2493">
        <w:rPr>
          <w:rFonts w:ascii="Arial" w:eastAsia="Times New Roman" w:hAnsi="Arial" w:cs="Arial"/>
          <w:sz w:val="24"/>
          <w:szCs w:val="24"/>
          <w:lang w:eastAsia="en-GB"/>
        </w:rPr>
        <w:lastRenderedPageBreak/>
        <w:t>Formal statements of registration from original institution, including dates of registration</w:t>
      </w:r>
      <w:r w:rsidR="00CF6AB2" w:rsidRPr="005E2493">
        <w:rPr>
          <w:rFonts w:ascii="Arial" w:eastAsia="Times New Roman" w:hAnsi="Arial" w:cs="Arial"/>
          <w:sz w:val="24"/>
          <w:szCs w:val="24"/>
          <w:lang w:eastAsia="en-GB"/>
        </w:rPr>
        <w:t xml:space="preserve"> and any dates of temporary </w:t>
      </w:r>
      <w:r w:rsidR="009859D1" w:rsidRPr="005E2493">
        <w:rPr>
          <w:rFonts w:ascii="Arial" w:eastAsia="Times New Roman" w:hAnsi="Arial" w:cs="Arial"/>
          <w:sz w:val="24"/>
          <w:szCs w:val="24"/>
          <w:lang w:eastAsia="en-GB"/>
        </w:rPr>
        <w:t>withdrawal.</w:t>
      </w:r>
    </w:p>
    <w:p w14:paraId="538BC946" w14:textId="69D2627E" w:rsidR="00A81930" w:rsidRPr="005E2493" w:rsidRDefault="00A81930" w:rsidP="00203EC5">
      <w:pPr>
        <w:pStyle w:val="ListParagraph"/>
        <w:numPr>
          <w:ilvl w:val="0"/>
          <w:numId w:val="6"/>
        </w:numPr>
        <w:spacing w:after="0" w:line="360" w:lineRule="auto"/>
        <w:ind w:hanging="720"/>
        <w:contextualSpacing w:val="0"/>
        <w:rPr>
          <w:rFonts w:ascii="Arial" w:eastAsia="Times New Roman" w:hAnsi="Arial" w:cs="Arial"/>
          <w:sz w:val="24"/>
          <w:szCs w:val="24"/>
          <w:lang w:eastAsia="en-GB"/>
        </w:rPr>
      </w:pPr>
      <w:r w:rsidRPr="005E2493">
        <w:rPr>
          <w:rFonts w:ascii="Arial" w:eastAsia="Times New Roman" w:hAnsi="Arial" w:cs="Arial"/>
          <w:sz w:val="24"/>
          <w:szCs w:val="24"/>
          <w:lang w:eastAsia="en-GB"/>
        </w:rPr>
        <w:t xml:space="preserve">Formal statements of academic progress from original institution with details (including dates) of interim </w:t>
      </w:r>
      <w:r w:rsidR="009859D1" w:rsidRPr="005E2493">
        <w:rPr>
          <w:rFonts w:ascii="Arial" w:eastAsia="Times New Roman" w:hAnsi="Arial" w:cs="Arial"/>
          <w:sz w:val="24"/>
          <w:szCs w:val="24"/>
          <w:lang w:eastAsia="en-GB"/>
        </w:rPr>
        <w:t>assessments.</w:t>
      </w:r>
    </w:p>
    <w:p w14:paraId="34B569E8" w14:textId="33ED4313" w:rsidR="00A81930" w:rsidRPr="005E2493" w:rsidRDefault="00A81930" w:rsidP="00203EC5">
      <w:pPr>
        <w:pStyle w:val="ListParagraph"/>
        <w:numPr>
          <w:ilvl w:val="0"/>
          <w:numId w:val="6"/>
        </w:numPr>
        <w:spacing w:after="0" w:line="360" w:lineRule="auto"/>
        <w:ind w:hanging="720"/>
        <w:contextualSpacing w:val="0"/>
        <w:rPr>
          <w:rFonts w:ascii="Arial" w:eastAsia="Times New Roman" w:hAnsi="Arial" w:cs="Arial"/>
          <w:sz w:val="24"/>
          <w:szCs w:val="24"/>
          <w:lang w:eastAsia="en-GB"/>
        </w:rPr>
      </w:pPr>
      <w:r w:rsidRPr="005E2493">
        <w:rPr>
          <w:rFonts w:ascii="Arial" w:eastAsia="Times New Roman" w:hAnsi="Arial" w:cs="Arial"/>
          <w:sz w:val="24"/>
          <w:szCs w:val="24"/>
          <w:lang w:eastAsia="en-GB"/>
        </w:rPr>
        <w:t xml:space="preserve">A report from the original supervisors on the candidate’s work to </w:t>
      </w:r>
      <w:r w:rsidR="009859D1" w:rsidRPr="005E2493">
        <w:rPr>
          <w:rFonts w:ascii="Arial" w:eastAsia="Times New Roman" w:hAnsi="Arial" w:cs="Arial"/>
          <w:sz w:val="24"/>
          <w:szCs w:val="24"/>
          <w:lang w:eastAsia="en-GB"/>
        </w:rPr>
        <w:t>date.</w:t>
      </w:r>
    </w:p>
    <w:p w14:paraId="2EACBD34" w14:textId="77777777" w:rsidR="00A81930" w:rsidRPr="005E2493" w:rsidRDefault="00A81930" w:rsidP="00203EC5">
      <w:pPr>
        <w:pStyle w:val="ListParagraph"/>
        <w:numPr>
          <w:ilvl w:val="0"/>
          <w:numId w:val="6"/>
        </w:numPr>
        <w:spacing w:after="0" w:line="360" w:lineRule="auto"/>
        <w:ind w:hanging="720"/>
        <w:contextualSpacing w:val="0"/>
        <w:rPr>
          <w:rFonts w:ascii="Arial" w:hAnsi="Arial" w:cs="Arial"/>
          <w:sz w:val="24"/>
          <w:szCs w:val="24"/>
        </w:rPr>
      </w:pPr>
      <w:r w:rsidRPr="005E2493">
        <w:rPr>
          <w:rFonts w:ascii="Arial" w:eastAsia="Times New Roman" w:hAnsi="Arial" w:cs="Arial"/>
          <w:sz w:val="24"/>
          <w:szCs w:val="24"/>
          <w:lang w:eastAsia="en-GB"/>
        </w:rPr>
        <w:t>A report from the candidate stating his/her reasons for moving institution.</w:t>
      </w:r>
    </w:p>
    <w:p w14:paraId="33E33827" w14:textId="6B13F38F" w:rsidR="00562C4C" w:rsidRPr="005E2493" w:rsidRDefault="00CF6D30" w:rsidP="00203EC5">
      <w:pPr>
        <w:pStyle w:val="ListParagraph"/>
        <w:numPr>
          <w:ilvl w:val="0"/>
          <w:numId w:val="1"/>
        </w:numPr>
        <w:spacing w:after="0" w:line="360" w:lineRule="auto"/>
        <w:ind w:left="567" w:hanging="567"/>
        <w:contextualSpacing w:val="0"/>
        <w:rPr>
          <w:rFonts w:ascii="Arial" w:hAnsi="Arial" w:cs="Arial"/>
          <w:sz w:val="24"/>
          <w:szCs w:val="24"/>
        </w:rPr>
      </w:pPr>
      <w:r w:rsidRPr="005E2493">
        <w:rPr>
          <w:rFonts w:ascii="Arial" w:hAnsi="Arial" w:cs="Arial"/>
          <w:sz w:val="24"/>
          <w:szCs w:val="24"/>
        </w:rPr>
        <w:t>Applications</w:t>
      </w:r>
      <w:r w:rsidR="00F33396" w:rsidRPr="005E2493">
        <w:rPr>
          <w:rFonts w:ascii="Arial" w:hAnsi="Arial" w:cs="Arial"/>
          <w:sz w:val="24"/>
          <w:szCs w:val="24"/>
        </w:rPr>
        <w:t xml:space="preserve"> for </w:t>
      </w:r>
      <w:r w:rsidRPr="005E2493">
        <w:rPr>
          <w:rFonts w:ascii="Arial" w:hAnsi="Arial" w:cs="Arial"/>
          <w:sz w:val="24"/>
          <w:szCs w:val="24"/>
        </w:rPr>
        <w:t xml:space="preserve">the </w:t>
      </w:r>
      <w:r w:rsidR="00F33396" w:rsidRPr="005E2493">
        <w:rPr>
          <w:rFonts w:ascii="Arial" w:hAnsi="Arial" w:cs="Arial"/>
          <w:sz w:val="24"/>
          <w:szCs w:val="24"/>
        </w:rPr>
        <w:t xml:space="preserve">transfer </w:t>
      </w:r>
      <w:r w:rsidRPr="005E2493">
        <w:rPr>
          <w:rFonts w:ascii="Arial" w:hAnsi="Arial" w:cs="Arial"/>
          <w:sz w:val="24"/>
          <w:szCs w:val="24"/>
        </w:rPr>
        <w:t xml:space="preserve">of research degree </w:t>
      </w:r>
      <w:r w:rsidR="00F33396" w:rsidRPr="005E2493">
        <w:rPr>
          <w:rFonts w:ascii="Arial" w:hAnsi="Arial" w:cs="Arial"/>
          <w:sz w:val="24"/>
          <w:szCs w:val="24"/>
        </w:rPr>
        <w:t xml:space="preserve">registration </w:t>
      </w:r>
      <w:r w:rsidRPr="005E2493">
        <w:rPr>
          <w:rFonts w:ascii="Arial" w:hAnsi="Arial" w:cs="Arial"/>
          <w:sz w:val="24"/>
          <w:szCs w:val="24"/>
        </w:rPr>
        <w:t xml:space="preserve">to Queen’s </w:t>
      </w:r>
      <w:r w:rsidR="00F33396" w:rsidRPr="005E2493">
        <w:rPr>
          <w:rFonts w:ascii="Arial" w:hAnsi="Arial" w:cs="Arial"/>
          <w:sz w:val="24"/>
          <w:szCs w:val="24"/>
        </w:rPr>
        <w:t xml:space="preserve">will be considered </w:t>
      </w:r>
      <w:r w:rsidRPr="005E2493">
        <w:rPr>
          <w:rFonts w:ascii="Arial" w:hAnsi="Arial" w:cs="Arial"/>
          <w:sz w:val="24"/>
          <w:szCs w:val="24"/>
        </w:rPr>
        <w:t>by</w:t>
      </w:r>
      <w:r w:rsidR="00F33396" w:rsidRPr="005E2493">
        <w:rPr>
          <w:rFonts w:ascii="Arial" w:hAnsi="Arial" w:cs="Arial"/>
          <w:sz w:val="24"/>
          <w:szCs w:val="24"/>
        </w:rPr>
        <w:t xml:space="preserve"> the relevant School Postgraduate Research Committee</w:t>
      </w:r>
      <w:r w:rsidR="009631FA" w:rsidRPr="005E2493">
        <w:rPr>
          <w:rFonts w:ascii="Arial" w:hAnsi="Arial" w:cs="Arial"/>
          <w:sz w:val="24"/>
          <w:szCs w:val="24"/>
        </w:rPr>
        <w:t xml:space="preserve"> (SPRC)</w:t>
      </w:r>
      <w:r w:rsidRPr="005E2493">
        <w:rPr>
          <w:rFonts w:ascii="Arial" w:hAnsi="Arial" w:cs="Arial"/>
          <w:sz w:val="24"/>
          <w:szCs w:val="24"/>
        </w:rPr>
        <w:t xml:space="preserve"> and </w:t>
      </w:r>
      <w:r w:rsidR="00F33396" w:rsidRPr="005E2493">
        <w:rPr>
          <w:rFonts w:ascii="Arial" w:hAnsi="Arial" w:cs="Arial"/>
          <w:sz w:val="24"/>
          <w:szCs w:val="24"/>
        </w:rPr>
        <w:t xml:space="preserve">referred to the </w:t>
      </w:r>
      <w:r w:rsidRPr="005E2493">
        <w:rPr>
          <w:rFonts w:ascii="Arial" w:hAnsi="Arial" w:cs="Arial"/>
          <w:sz w:val="24"/>
          <w:szCs w:val="24"/>
        </w:rPr>
        <w:t xml:space="preserve">relevant Faculty Dean for final approval, on behalf of the </w:t>
      </w:r>
      <w:r w:rsidR="00203EC5" w:rsidRPr="005E2493">
        <w:rPr>
          <w:rFonts w:ascii="Arial" w:hAnsi="Arial" w:cs="Arial"/>
          <w:sz w:val="24"/>
          <w:szCs w:val="24"/>
        </w:rPr>
        <w:t>Education Committee (Quality and Standards)</w:t>
      </w:r>
      <w:r w:rsidR="00203EC5">
        <w:rPr>
          <w:rFonts w:ascii="Arial" w:hAnsi="Arial" w:cs="Arial"/>
          <w:sz w:val="24"/>
          <w:szCs w:val="24"/>
        </w:rPr>
        <w:t>.</w:t>
      </w:r>
    </w:p>
    <w:p w14:paraId="6CE44B59" w14:textId="77777777" w:rsidR="007E1931" w:rsidRPr="005E2493" w:rsidRDefault="007E1931" w:rsidP="00203EC5">
      <w:pPr>
        <w:autoSpaceDE w:val="0"/>
        <w:autoSpaceDN w:val="0"/>
        <w:adjustRightInd w:val="0"/>
        <w:spacing w:after="0" w:line="360" w:lineRule="auto"/>
        <w:rPr>
          <w:rFonts w:ascii="Arial" w:hAnsi="Arial" w:cs="Arial"/>
          <w:color w:val="000000"/>
          <w:sz w:val="24"/>
          <w:szCs w:val="24"/>
        </w:rPr>
      </w:pPr>
    </w:p>
    <w:p w14:paraId="0D9E9DDC" w14:textId="41279BEE" w:rsidR="00F33396" w:rsidRPr="005E2493" w:rsidRDefault="00F33396" w:rsidP="00203EC5">
      <w:pPr>
        <w:autoSpaceDE w:val="0"/>
        <w:autoSpaceDN w:val="0"/>
        <w:adjustRightInd w:val="0"/>
        <w:spacing w:after="0" w:line="360" w:lineRule="auto"/>
        <w:rPr>
          <w:rFonts w:ascii="Arial" w:hAnsi="Arial" w:cs="Arial"/>
          <w:color w:val="000000"/>
          <w:sz w:val="24"/>
          <w:szCs w:val="24"/>
        </w:rPr>
      </w:pPr>
      <w:r w:rsidRPr="005E2493">
        <w:rPr>
          <w:rFonts w:ascii="Arial" w:hAnsi="Arial" w:cs="Arial"/>
          <w:color w:val="000000"/>
          <w:sz w:val="24"/>
          <w:szCs w:val="24"/>
        </w:rPr>
        <w:t>The following procedure</w:t>
      </w:r>
      <w:r w:rsidR="009631FA" w:rsidRPr="005E2493">
        <w:rPr>
          <w:rFonts w:ascii="Arial" w:hAnsi="Arial" w:cs="Arial"/>
          <w:color w:val="000000"/>
          <w:sz w:val="24"/>
          <w:szCs w:val="24"/>
        </w:rPr>
        <w:t>s</w:t>
      </w:r>
      <w:r w:rsidRPr="005E2493">
        <w:rPr>
          <w:rFonts w:ascii="Arial" w:hAnsi="Arial" w:cs="Arial"/>
          <w:color w:val="000000"/>
          <w:sz w:val="24"/>
          <w:szCs w:val="24"/>
        </w:rPr>
        <w:t xml:space="preserve"> will apply: </w:t>
      </w:r>
    </w:p>
    <w:p w14:paraId="191AB719" w14:textId="1CCB9C9B" w:rsidR="00AE7A41" w:rsidRPr="005E2493" w:rsidRDefault="00AE7A41"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Applicant must complete a standard research study application form, via the Direct Application Portal and indicate</w:t>
      </w:r>
      <w:r w:rsidR="00B348B5" w:rsidRPr="005E2493">
        <w:rPr>
          <w:rFonts w:ascii="Arial" w:hAnsi="Arial" w:cs="Arial"/>
          <w:sz w:val="24"/>
          <w:szCs w:val="24"/>
        </w:rPr>
        <w:t xml:space="preserve"> </w:t>
      </w:r>
      <w:r w:rsidR="00EF41C4" w:rsidRPr="005E2493">
        <w:rPr>
          <w:rFonts w:ascii="Arial" w:hAnsi="Arial" w:cs="Arial"/>
          <w:sz w:val="24"/>
          <w:szCs w:val="24"/>
        </w:rPr>
        <w:t xml:space="preserve">in the Additional Information section </w:t>
      </w:r>
      <w:r w:rsidR="00B348B5" w:rsidRPr="005E2493">
        <w:rPr>
          <w:rFonts w:ascii="Arial" w:hAnsi="Arial" w:cs="Arial"/>
          <w:sz w:val="24"/>
          <w:szCs w:val="24"/>
        </w:rPr>
        <w:t>that</w:t>
      </w:r>
      <w:r w:rsidRPr="005E2493">
        <w:rPr>
          <w:rFonts w:ascii="Arial" w:hAnsi="Arial" w:cs="Arial"/>
          <w:sz w:val="24"/>
          <w:szCs w:val="24"/>
        </w:rPr>
        <w:t xml:space="preserve"> they are a transfer student.</w:t>
      </w:r>
    </w:p>
    <w:p w14:paraId="30EEFA12" w14:textId="7032CD28" w:rsidR="00AE7A41" w:rsidRPr="005E2493" w:rsidRDefault="00AE7A41"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School should seek the additional documentation required, as outlined in the p</w:t>
      </w:r>
      <w:r w:rsidR="00B348B5" w:rsidRPr="005E2493">
        <w:rPr>
          <w:rFonts w:ascii="Arial" w:hAnsi="Arial" w:cs="Arial"/>
          <w:sz w:val="24"/>
          <w:szCs w:val="24"/>
        </w:rPr>
        <w:t>rotocol</w:t>
      </w:r>
      <w:r w:rsidRPr="005E2493">
        <w:rPr>
          <w:rFonts w:ascii="Arial" w:hAnsi="Arial" w:cs="Arial"/>
          <w:sz w:val="24"/>
          <w:szCs w:val="24"/>
        </w:rPr>
        <w:t xml:space="preserve"> above</w:t>
      </w:r>
      <w:r w:rsidR="00792170" w:rsidRPr="005E2493">
        <w:rPr>
          <w:rFonts w:ascii="Arial" w:hAnsi="Arial" w:cs="Arial"/>
          <w:sz w:val="24"/>
          <w:szCs w:val="24"/>
        </w:rPr>
        <w:t xml:space="preserve"> (paragraph 9)</w:t>
      </w:r>
      <w:r w:rsidRPr="005E2493">
        <w:rPr>
          <w:rFonts w:ascii="Arial" w:hAnsi="Arial" w:cs="Arial"/>
          <w:sz w:val="24"/>
          <w:szCs w:val="24"/>
        </w:rPr>
        <w:t>.  If the applicant is accompanying their supervisor to the University, this can be in progress following the appointment of the supervisor.</w:t>
      </w:r>
    </w:p>
    <w:p w14:paraId="5AFC6306" w14:textId="77777777" w:rsidR="00AE7A41" w:rsidRPr="005E2493" w:rsidRDefault="00AE7A41"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If the applicant has funding associated with their research degree, the School should seek advice from the Postgraduate Awards Team.</w:t>
      </w:r>
    </w:p>
    <w:p w14:paraId="1F6FB8E5" w14:textId="772B91C5" w:rsidR="009631FA" w:rsidRPr="005E2493" w:rsidRDefault="009631FA"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 xml:space="preserve">SPRC to consider </w:t>
      </w:r>
      <w:r w:rsidR="00AD250C" w:rsidRPr="005E2493">
        <w:rPr>
          <w:rFonts w:ascii="Arial" w:hAnsi="Arial" w:cs="Arial"/>
          <w:sz w:val="24"/>
          <w:szCs w:val="24"/>
        </w:rPr>
        <w:t xml:space="preserve">the </w:t>
      </w:r>
      <w:r w:rsidRPr="005E2493">
        <w:rPr>
          <w:rFonts w:ascii="Arial" w:hAnsi="Arial" w:cs="Arial"/>
          <w:sz w:val="24"/>
          <w:szCs w:val="24"/>
        </w:rPr>
        <w:t xml:space="preserve">transfer application, </w:t>
      </w:r>
      <w:r w:rsidR="00AD250C" w:rsidRPr="005E2493">
        <w:rPr>
          <w:rFonts w:ascii="Arial" w:hAnsi="Arial" w:cs="Arial"/>
          <w:sz w:val="24"/>
          <w:szCs w:val="24"/>
        </w:rPr>
        <w:t>applying</w:t>
      </w:r>
      <w:r w:rsidRPr="005E2493">
        <w:rPr>
          <w:rFonts w:ascii="Arial" w:hAnsi="Arial" w:cs="Arial"/>
          <w:sz w:val="24"/>
          <w:szCs w:val="24"/>
        </w:rPr>
        <w:t xml:space="preserve"> the criteria outlined in the p</w:t>
      </w:r>
      <w:r w:rsidR="00B348B5" w:rsidRPr="005E2493">
        <w:rPr>
          <w:rFonts w:ascii="Arial" w:hAnsi="Arial" w:cs="Arial"/>
          <w:sz w:val="24"/>
          <w:szCs w:val="24"/>
        </w:rPr>
        <w:t>rotocol</w:t>
      </w:r>
      <w:r w:rsidR="00AE7A41" w:rsidRPr="005E2493">
        <w:rPr>
          <w:rFonts w:ascii="Arial" w:hAnsi="Arial" w:cs="Arial"/>
          <w:sz w:val="24"/>
          <w:szCs w:val="24"/>
        </w:rPr>
        <w:t xml:space="preserve"> above</w:t>
      </w:r>
      <w:r w:rsidRPr="005E2493">
        <w:rPr>
          <w:rFonts w:ascii="Arial" w:hAnsi="Arial" w:cs="Arial"/>
          <w:sz w:val="24"/>
          <w:szCs w:val="24"/>
        </w:rPr>
        <w:t xml:space="preserve">, and refer </w:t>
      </w:r>
      <w:r w:rsidR="00AD250C" w:rsidRPr="005E2493">
        <w:rPr>
          <w:rFonts w:ascii="Arial" w:hAnsi="Arial" w:cs="Arial"/>
          <w:sz w:val="24"/>
          <w:szCs w:val="24"/>
        </w:rPr>
        <w:t xml:space="preserve">endorsed applications </w:t>
      </w:r>
      <w:r w:rsidRPr="005E2493">
        <w:rPr>
          <w:rFonts w:ascii="Arial" w:hAnsi="Arial" w:cs="Arial"/>
          <w:sz w:val="24"/>
          <w:szCs w:val="24"/>
        </w:rPr>
        <w:t>to the appropriate Faculty Dean for approval.</w:t>
      </w:r>
    </w:p>
    <w:p w14:paraId="59660DFA" w14:textId="19DAC717" w:rsidR="00B4678C" w:rsidRPr="005E2493" w:rsidRDefault="00B4678C"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When entering the recommended decision on Qsis, the School should clearly state in the Selector’s text box that the applicant is a Transfer Student, to enable the appropriate communication to be sent by the Admissions and Access Service.</w:t>
      </w:r>
    </w:p>
    <w:p w14:paraId="1C14E942" w14:textId="576ACC43" w:rsidR="00AE7A41" w:rsidRPr="005E2493" w:rsidRDefault="00AE7A41" w:rsidP="00203EC5">
      <w:pPr>
        <w:pStyle w:val="ListParagraph"/>
        <w:numPr>
          <w:ilvl w:val="0"/>
          <w:numId w:val="9"/>
        </w:numPr>
        <w:spacing w:after="0" w:line="360" w:lineRule="auto"/>
        <w:ind w:left="567" w:hanging="567"/>
        <w:contextualSpacing w:val="0"/>
        <w:rPr>
          <w:rFonts w:ascii="Arial" w:hAnsi="Arial" w:cs="Arial"/>
          <w:sz w:val="24"/>
          <w:szCs w:val="24"/>
        </w:rPr>
      </w:pPr>
      <w:r w:rsidRPr="005E2493">
        <w:rPr>
          <w:rFonts w:ascii="Arial" w:hAnsi="Arial" w:cs="Arial"/>
          <w:sz w:val="24"/>
          <w:szCs w:val="24"/>
        </w:rPr>
        <w:t>Admissions and Access</w:t>
      </w:r>
      <w:r w:rsidR="00C12F0A" w:rsidRPr="005E2493">
        <w:rPr>
          <w:rFonts w:ascii="Arial" w:hAnsi="Arial" w:cs="Arial"/>
          <w:sz w:val="24"/>
          <w:szCs w:val="24"/>
        </w:rPr>
        <w:t xml:space="preserve"> Service</w:t>
      </w:r>
      <w:r w:rsidRPr="005E2493">
        <w:rPr>
          <w:rFonts w:ascii="Arial" w:hAnsi="Arial" w:cs="Arial"/>
          <w:sz w:val="24"/>
          <w:szCs w:val="24"/>
        </w:rPr>
        <w:t>, in liaison with the School, will communicate the decision to the applicant.</w:t>
      </w:r>
    </w:p>
    <w:p w14:paraId="21EA8BC5" w14:textId="4F1CCDF9" w:rsidR="00F33396" w:rsidRPr="005E2493" w:rsidRDefault="00AE7A41" w:rsidP="00203EC5">
      <w:pPr>
        <w:pStyle w:val="ListParagraph"/>
        <w:numPr>
          <w:ilvl w:val="0"/>
          <w:numId w:val="9"/>
        </w:numPr>
        <w:spacing w:after="0" w:line="360" w:lineRule="auto"/>
        <w:ind w:left="567" w:hanging="567"/>
        <w:contextualSpacing w:val="0"/>
        <w:rPr>
          <w:rFonts w:ascii="Arial" w:hAnsi="Arial" w:cs="Arial"/>
          <w:sz w:val="24"/>
          <w:szCs w:val="24"/>
          <w:u w:val="single"/>
        </w:rPr>
      </w:pPr>
      <w:r w:rsidRPr="005E2493">
        <w:rPr>
          <w:rFonts w:ascii="Arial" w:hAnsi="Arial" w:cs="Arial"/>
          <w:sz w:val="24"/>
          <w:szCs w:val="24"/>
        </w:rPr>
        <w:t>Upon registration, School should advise Student Registry of the transfer decision to ensure that the student’s record and milestones within the Research Student Lifecycle system are amended to take account of their full period of study. This should include their registration at their previous institution.</w:t>
      </w:r>
    </w:p>
    <w:sectPr w:rsidR="00F33396" w:rsidRPr="005E2493" w:rsidSect="00F95D8F">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03212" w14:textId="77777777" w:rsidR="004C179F" w:rsidRDefault="004C179F" w:rsidP="006F73D8">
      <w:pPr>
        <w:spacing w:after="0" w:line="240" w:lineRule="auto"/>
      </w:pPr>
      <w:r>
        <w:separator/>
      </w:r>
    </w:p>
  </w:endnote>
  <w:endnote w:type="continuationSeparator" w:id="0">
    <w:p w14:paraId="3696F74D" w14:textId="77777777" w:rsidR="004C179F" w:rsidRDefault="004C179F" w:rsidP="006F73D8">
      <w:pPr>
        <w:spacing w:after="0" w:line="240" w:lineRule="auto"/>
      </w:pPr>
      <w:r>
        <w:continuationSeparator/>
      </w:r>
    </w:p>
  </w:endnote>
  <w:endnote w:type="continuationNotice" w:id="1">
    <w:p w14:paraId="2CF2F3D9" w14:textId="77777777" w:rsidR="004C179F" w:rsidRDefault="004C1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E450" w14:textId="7C30DDB9" w:rsidR="00203EC5" w:rsidRPr="005E2493" w:rsidRDefault="00203EC5" w:rsidP="00203EC5">
    <w:pPr>
      <w:pStyle w:val="ListParagraph"/>
      <w:spacing w:after="0" w:line="360" w:lineRule="auto"/>
      <w:contextualSpacing w:val="0"/>
      <w:jc w:val="right"/>
      <w:rPr>
        <w:rFonts w:ascii="Arial" w:hAnsi="Arial" w:cs="Arial"/>
        <w:color w:val="FF0000"/>
        <w:sz w:val="24"/>
        <w:szCs w:val="24"/>
      </w:rPr>
    </w:pPr>
    <w:r>
      <w:rPr>
        <w:rFonts w:ascii="Arial" w:hAnsi="Arial" w:cs="Arial"/>
        <w:sz w:val="24"/>
        <w:szCs w:val="24"/>
      </w:rPr>
      <w:t>September 2021</w:t>
    </w:r>
  </w:p>
  <w:p w14:paraId="3799BEAA" w14:textId="77777777" w:rsidR="00203EC5" w:rsidRDefault="00203EC5" w:rsidP="00203E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EF0F6" w14:textId="77777777" w:rsidR="004C179F" w:rsidRDefault="004C179F" w:rsidP="006F73D8">
      <w:pPr>
        <w:spacing w:after="0" w:line="240" w:lineRule="auto"/>
      </w:pPr>
      <w:r>
        <w:separator/>
      </w:r>
    </w:p>
  </w:footnote>
  <w:footnote w:type="continuationSeparator" w:id="0">
    <w:p w14:paraId="437B4141" w14:textId="77777777" w:rsidR="004C179F" w:rsidRDefault="004C179F" w:rsidP="006F73D8">
      <w:pPr>
        <w:spacing w:after="0" w:line="240" w:lineRule="auto"/>
      </w:pPr>
      <w:r>
        <w:continuationSeparator/>
      </w:r>
    </w:p>
  </w:footnote>
  <w:footnote w:type="continuationNotice" w:id="1">
    <w:p w14:paraId="4682F7AF" w14:textId="77777777" w:rsidR="004C179F" w:rsidRDefault="004C1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C773" w14:textId="77777777" w:rsidR="005E2493" w:rsidRPr="005E2493" w:rsidRDefault="005E2493" w:rsidP="005E2493">
    <w:pPr>
      <w:spacing w:after="0" w:line="360" w:lineRule="auto"/>
      <w:jc w:val="center"/>
      <w:rPr>
        <w:rFonts w:ascii="Arial" w:hAnsi="Arial" w:cs="Arial"/>
        <w:b/>
        <w:bCs/>
        <w:sz w:val="24"/>
        <w:szCs w:val="24"/>
      </w:rPr>
    </w:pPr>
    <w:r w:rsidRPr="005E2493">
      <w:rPr>
        <w:rFonts w:ascii="Arial" w:hAnsi="Arial" w:cs="Arial"/>
        <w:b/>
        <w:bCs/>
        <w:sz w:val="24"/>
        <w:szCs w:val="24"/>
      </w:rPr>
      <w:t xml:space="preserve">Transfer Protocol for Postgraduate Research Students from Other Institutions </w:t>
    </w:r>
  </w:p>
  <w:p w14:paraId="79882D61" w14:textId="77777777" w:rsidR="005E2493" w:rsidRDefault="005E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258F"/>
    <w:multiLevelType w:val="hybridMultilevel"/>
    <w:tmpl w:val="2350F9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FB02ED"/>
    <w:multiLevelType w:val="multilevel"/>
    <w:tmpl w:val="B5D0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74801"/>
    <w:multiLevelType w:val="multilevel"/>
    <w:tmpl w:val="2E1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A12FC"/>
    <w:multiLevelType w:val="hybridMultilevel"/>
    <w:tmpl w:val="F82EC39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F84276"/>
    <w:multiLevelType w:val="hybridMultilevel"/>
    <w:tmpl w:val="CAF81C7C"/>
    <w:lvl w:ilvl="0" w:tplc="2828124A">
      <w:start w:val="1"/>
      <w:numFmt w:val="lowerRoman"/>
      <w:lvlText w:val="(%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E7C6A8A"/>
    <w:multiLevelType w:val="hybridMultilevel"/>
    <w:tmpl w:val="EC46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4961"/>
    <w:multiLevelType w:val="hybridMultilevel"/>
    <w:tmpl w:val="BB26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01521"/>
    <w:multiLevelType w:val="hybridMultilevel"/>
    <w:tmpl w:val="786AF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E31AC6"/>
    <w:multiLevelType w:val="hybridMultilevel"/>
    <w:tmpl w:val="9E546A8E"/>
    <w:lvl w:ilvl="0" w:tplc="A9661A22">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78017140">
    <w:abstractNumId w:val="7"/>
  </w:num>
  <w:num w:numId="2" w16cid:durableId="1364553658">
    <w:abstractNumId w:val="1"/>
  </w:num>
  <w:num w:numId="3" w16cid:durableId="1193618344">
    <w:abstractNumId w:val="2"/>
  </w:num>
  <w:num w:numId="4" w16cid:durableId="1980528784">
    <w:abstractNumId w:val="0"/>
  </w:num>
  <w:num w:numId="5" w16cid:durableId="59985687">
    <w:abstractNumId w:val="4"/>
  </w:num>
  <w:num w:numId="6" w16cid:durableId="1739934353">
    <w:abstractNumId w:val="8"/>
  </w:num>
  <w:num w:numId="7" w16cid:durableId="286620866">
    <w:abstractNumId w:val="6"/>
  </w:num>
  <w:num w:numId="8" w16cid:durableId="1768842460">
    <w:abstractNumId w:val="5"/>
  </w:num>
  <w:num w:numId="9" w16cid:durableId="194021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BE"/>
    <w:rsid w:val="00081261"/>
    <w:rsid w:val="00167753"/>
    <w:rsid w:val="00177037"/>
    <w:rsid w:val="001E6B03"/>
    <w:rsid w:val="00203EC5"/>
    <w:rsid w:val="002426ED"/>
    <w:rsid w:val="00285A10"/>
    <w:rsid w:val="002B3A04"/>
    <w:rsid w:val="002D08BE"/>
    <w:rsid w:val="002F29B5"/>
    <w:rsid w:val="00366630"/>
    <w:rsid w:val="003D6E9F"/>
    <w:rsid w:val="003D772C"/>
    <w:rsid w:val="004404E9"/>
    <w:rsid w:val="004C179F"/>
    <w:rsid w:val="004C4626"/>
    <w:rsid w:val="00517ECA"/>
    <w:rsid w:val="0055743E"/>
    <w:rsid w:val="00562C4C"/>
    <w:rsid w:val="005E2493"/>
    <w:rsid w:val="005F7966"/>
    <w:rsid w:val="006120AE"/>
    <w:rsid w:val="00642BF6"/>
    <w:rsid w:val="006650B4"/>
    <w:rsid w:val="00671BD1"/>
    <w:rsid w:val="006B1018"/>
    <w:rsid w:val="006D1926"/>
    <w:rsid w:val="006F73D8"/>
    <w:rsid w:val="0075675D"/>
    <w:rsid w:val="007702AF"/>
    <w:rsid w:val="0078204C"/>
    <w:rsid w:val="00792170"/>
    <w:rsid w:val="007D0D7E"/>
    <w:rsid w:val="007E1931"/>
    <w:rsid w:val="007F4905"/>
    <w:rsid w:val="00806FA5"/>
    <w:rsid w:val="00847EA4"/>
    <w:rsid w:val="008E6B45"/>
    <w:rsid w:val="00907568"/>
    <w:rsid w:val="009631FA"/>
    <w:rsid w:val="00984CE0"/>
    <w:rsid w:val="009859D1"/>
    <w:rsid w:val="00A108D9"/>
    <w:rsid w:val="00A56D58"/>
    <w:rsid w:val="00A61695"/>
    <w:rsid w:val="00A81930"/>
    <w:rsid w:val="00A940C7"/>
    <w:rsid w:val="00AD250C"/>
    <w:rsid w:val="00AD3B17"/>
    <w:rsid w:val="00AD4C26"/>
    <w:rsid w:val="00AE7A41"/>
    <w:rsid w:val="00AF30C3"/>
    <w:rsid w:val="00B348B5"/>
    <w:rsid w:val="00B4678C"/>
    <w:rsid w:val="00C12F0A"/>
    <w:rsid w:val="00C237F0"/>
    <w:rsid w:val="00C542D7"/>
    <w:rsid w:val="00CA754D"/>
    <w:rsid w:val="00CF6AB2"/>
    <w:rsid w:val="00CF6D30"/>
    <w:rsid w:val="00D258DE"/>
    <w:rsid w:val="00E217F0"/>
    <w:rsid w:val="00E50F3E"/>
    <w:rsid w:val="00EF41C4"/>
    <w:rsid w:val="00F154CD"/>
    <w:rsid w:val="00F273C1"/>
    <w:rsid w:val="00F33396"/>
    <w:rsid w:val="00F6439B"/>
    <w:rsid w:val="00F95D8F"/>
    <w:rsid w:val="1CCA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2198"/>
  <w15:chartTrackingRefBased/>
  <w15:docId w15:val="{CADE090E-0408-436F-A7C1-C7BCAE60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B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08BE"/>
    <w:pPr>
      <w:ind w:left="720"/>
      <w:contextualSpacing/>
    </w:pPr>
  </w:style>
  <w:style w:type="paragraph" w:styleId="NormalWeb">
    <w:name w:val="Normal (Web)"/>
    <w:basedOn w:val="Normal"/>
    <w:uiPriority w:val="99"/>
    <w:semiHidden/>
    <w:unhideWhenUsed/>
    <w:rsid w:val="00A819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81930"/>
    <w:rPr>
      <w:color w:val="0000FF"/>
      <w:u w:val="single"/>
    </w:rPr>
  </w:style>
  <w:style w:type="paragraph" w:styleId="Header">
    <w:name w:val="header"/>
    <w:basedOn w:val="Normal"/>
    <w:link w:val="HeaderChar"/>
    <w:uiPriority w:val="99"/>
    <w:unhideWhenUsed/>
    <w:rsid w:val="006F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3D8"/>
  </w:style>
  <w:style w:type="paragraph" w:styleId="Footer">
    <w:name w:val="footer"/>
    <w:basedOn w:val="Normal"/>
    <w:link w:val="FooterChar"/>
    <w:uiPriority w:val="99"/>
    <w:unhideWhenUsed/>
    <w:rsid w:val="006F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3D8"/>
  </w:style>
  <w:style w:type="paragraph" w:styleId="BalloonText">
    <w:name w:val="Balloon Text"/>
    <w:basedOn w:val="Normal"/>
    <w:link w:val="BalloonTextChar"/>
    <w:uiPriority w:val="99"/>
    <w:semiHidden/>
    <w:unhideWhenUsed/>
    <w:rsid w:val="006F7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3D8"/>
    <w:rPr>
      <w:rFonts w:ascii="Segoe UI" w:hAnsi="Segoe UI" w:cs="Segoe UI"/>
      <w:sz w:val="18"/>
      <w:szCs w:val="18"/>
    </w:rPr>
  </w:style>
  <w:style w:type="character" w:styleId="FollowedHyperlink">
    <w:name w:val="FollowedHyperlink"/>
    <w:basedOn w:val="DefaultParagraphFont"/>
    <w:uiPriority w:val="99"/>
    <w:semiHidden/>
    <w:unhideWhenUsed/>
    <w:rsid w:val="00F33396"/>
    <w:rPr>
      <w:color w:val="954F72" w:themeColor="followedHyperlink"/>
      <w:u w:val="single"/>
    </w:rPr>
  </w:style>
  <w:style w:type="character" w:styleId="CommentReference">
    <w:name w:val="annotation reference"/>
    <w:basedOn w:val="DefaultParagraphFont"/>
    <w:uiPriority w:val="99"/>
    <w:semiHidden/>
    <w:unhideWhenUsed/>
    <w:rsid w:val="00AE7A41"/>
    <w:rPr>
      <w:sz w:val="16"/>
      <w:szCs w:val="16"/>
    </w:rPr>
  </w:style>
  <w:style w:type="paragraph" w:styleId="CommentText">
    <w:name w:val="annotation text"/>
    <w:basedOn w:val="Normal"/>
    <w:link w:val="CommentTextChar"/>
    <w:uiPriority w:val="99"/>
    <w:unhideWhenUsed/>
    <w:rsid w:val="00AE7A41"/>
    <w:pPr>
      <w:spacing w:line="240" w:lineRule="auto"/>
    </w:pPr>
    <w:rPr>
      <w:sz w:val="20"/>
      <w:szCs w:val="20"/>
    </w:rPr>
  </w:style>
  <w:style w:type="character" w:customStyle="1" w:styleId="CommentTextChar">
    <w:name w:val="Comment Text Char"/>
    <w:basedOn w:val="DefaultParagraphFont"/>
    <w:link w:val="CommentText"/>
    <w:uiPriority w:val="99"/>
    <w:rsid w:val="00AE7A41"/>
    <w:rPr>
      <w:sz w:val="20"/>
      <w:szCs w:val="20"/>
    </w:rPr>
  </w:style>
  <w:style w:type="paragraph" w:styleId="CommentSubject">
    <w:name w:val="annotation subject"/>
    <w:basedOn w:val="CommentText"/>
    <w:next w:val="CommentText"/>
    <w:link w:val="CommentSubjectChar"/>
    <w:uiPriority w:val="99"/>
    <w:semiHidden/>
    <w:unhideWhenUsed/>
    <w:rsid w:val="00AE7A41"/>
    <w:rPr>
      <w:b/>
      <w:bCs/>
    </w:rPr>
  </w:style>
  <w:style w:type="character" w:customStyle="1" w:styleId="CommentSubjectChar">
    <w:name w:val="Comment Subject Char"/>
    <w:basedOn w:val="CommentTextChar"/>
    <w:link w:val="CommentSubject"/>
    <w:uiPriority w:val="99"/>
    <w:semiHidden/>
    <w:rsid w:val="00AE7A41"/>
    <w:rPr>
      <w:b/>
      <w:bCs/>
      <w:sz w:val="20"/>
      <w:szCs w:val="20"/>
    </w:rPr>
  </w:style>
  <w:style w:type="paragraph" w:styleId="Revision">
    <w:name w:val="Revision"/>
    <w:hidden/>
    <w:uiPriority w:val="99"/>
    <w:semiHidden/>
    <w:rsid w:val="00AD4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431">
      <w:bodyDiv w:val="1"/>
      <w:marLeft w:val="0"/>
      <w:marRight w:val="0"/>
      <w:marTop w:val="0"/>
      <w:marBottom w:val="0"/>
      <w:divBdr>
        <w:top w:val="none" w:sz="0" w:space="0" w:color="auto"/>
        <w:left w:val="none" w:sz="0" w:space="0" w:color="auto"/>
        <w:bottom w:val="none" w:sz="0" w:space="0" w:color="auto"/>
        <w:right w:val="none" w:sz="0" w:space="0" w:color="auto"/>
      </w:divBdr>
    </w:div>
    <w:div w:id="143742509">
      <w:bodyDiv w:val="1"/>
      <w:marLeft w:val="0"/>
      <w:marRight w:val="0"/>
      <w:marTop w:val="0"/>
      <w:marBottom w:val="0"/>
      <w:divBdr>
        <w:top w:val="none" w:sz="0" w:space="0" w:color="auto"/>
        <w:left w:val="none" w:sz="0" w:space="0" w:color="auto"/>
        <w:bottom w:val="none" w:sz="0" w:space="0" w:color="auto"/>
        <w:right w:val="none" w:sz="0" w:space="0" w:color="auto"/>
      </w:divBdr>
    </w:div>
    <w:div w:id="712118688">
      <w:bodyDiv w:val="1"/>
      <w:marLeft w:val="0"/>
      <w:marRight w:val="0"/>
      <w:marTop w:val="0"/>
      <w:marBottom w:val="0"/>
      <w:divBdr>
        <w:top w:val="none" w:sz="0" w:space="0" w:color="auto"/>
        <w:left w:val="none" w:sz="0" w:space="0" w:color="auto"/>
        <w:bottom w:val="none" w:sz="0" w:space="0" w:color="auto"/>
        <w:right w:val="none" w:sz="0" w:space="0" w:color="auto"/>
      </w:divBdr>
    </w:div>
    <w:div w:id="1119303697">
      <w:bodyDiv w:val="1"/>
      <w:marLeft w:val="0"/>
      <w:marRight w:val="0"/>
      <w:marTop w:val="0"/>
      <w:marBottom w:val="0"/>
      <w:divBdr>
        <w:top w:val="none" w:sz="0" w:space="0" w:color="auto"/>
        <w:left w:val="none" w:sz="0" w:space="0" w:color="auto"/>
        <w:bottom w:val="none" w:sz="0" w:space="0" w:color="auto"/>
        <w:right w:val="none" w:sz="0" w:space="0" w:color="auto"/>
      </w:divBdr>
    </w:div>
    <w:div w:id="14566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19" ma:contentTypeDescription="Create a new document." ma:contentTypeScope="" ma:versionID="f2fca0b347f4d461059ff219c87e0883">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c74867a8ad4e1fee5d148573a43b545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Definitive Records - FOR ARCHIVE"/>
          <xsd:enumeration value="Live folder"/>
          <xsd:enumeration value="Definitive records to be disposed on retention date"/>
          <xsd:enumeration value="Folder shared external AA"/>
        </xsd:restriction>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2e49ff12-39f2-416e-aa91-245a66e6104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TaxKeywordTaxHTField xmlns="e5c35a4f-ce99-4193-847d-187b8cb331b3">
      <Terms xmlns="http://schemas.microsoft.com/office/infopath/2007/PartnerControls"/>
    </TaxKeywordTaxHTField>
  </documentManagement>
</p:properties>
</file>

<file path=customXml/itemProps1.xml><?xml version="1.0" encoding="utf-8"?>
<ds:datastoreItem xmlns:ds="http://schemas.openxmlformats.org/officeDocument/2006/customXml" ds:itemID="{BFF9EFB7-58E2-471B-825D-1EEF1272E4C7}">
  <ds:schemaRefs>
    <ds:schemaRef ds:uri="http://schemas.microsoft.com/sharepoint/v3/contenttype/forms"/>
  </ds:schemaRefs>
</ds:datastoreItem>
</file>

<file path=customXml/itemProps2.xml><?xml version="1.0" encoding="utf-8"?>
<ds:datastoreItem xmlns:ds="http://schemas.openxmlformats.org/officeDocument/2006/customXml" ds:itemID="{FAE5E77B-4060-432C-BD98-03C7CF2C5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094A4-9A2A-4B1E-BDD6-9534BBF5B8A4}">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Karen Gruhn</cp:lastModifiedBy>
  <cp:revision>10</cp:revision>
  <dcterms:created xsi:type="dcterms:W3CDTF">2021-08-19T10:10:00Z</dcterms:created>
  <dcterms:modified xsi:type="dcterms:W3CDTF">2024-10-11T08:54:00Z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758200</vt:r8>
  </property>
  <property fmtid="{D5CDD505-2E9C-101B-9397-08002B2CF9AE}" pid="4" name="MediaServiceImageTags">
    <vt:lpwstr/>
  </property>
  <property fmtid="{D5CDD505-2E9C-101B-9397-08002B2CF9AE}" pid="5" name="TaxKeyword">
    <vt:lpwstr/>
  </property>
</Properties>
</file>