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9D" w:rsidRDefault="00144B9D" w:rsidP="00CD71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EE09D7">
        <w:rPr>
          <w:rFonts w:ascii="Arial" w:hAnsi="Arial" w:cs="Arial"/>
          <w:color w:val="000000"/>
          <w:spacing w:val="-3"/>
        </w:rPr>
        <w:t xml:space="preserve">The following is a list of the most commonly encountered drugs currently controlled under the misuse of drugs legislation showing their respective classifications under both the Misuse of Drugs Act 1971 and the Misuse of Drugs Regulations 2001. </w:t>
      </w:r>
      <w:r w:rsidRPr="00EE09D7">
        <w:rPr>
          <w:rFonts w:ascii="Arial" w:hAnsi="Arial" w:cs="Arial"/>
          <w:b/>
          <w:color w:val="000000"/>
          <w:spacing w:val="-3"/>
        </w:rPr>
        <w:t>Although it is extensive, the list is not exhaustive</w:t>
      </w:r>
      <w:r w:rsidRPr="00EE09D7">
        <w:rPr>
          <w:rFonts w:ascii="Arial" w:hAnsi="Arial" w:cs="Arial"/>
          <w:color w:val="000000"/>
          <w:spacing w:val="-3"/>
        </w:rPr>
        <w:t xml:space="preserve"> and, in the event of a substance not being listed below, reference should also be made to the notes in Parts I, II, </w:t>
      </w:r>
      <w:smartTag w:uri="urn:schemas-microsoft-com:office:smarttags" w:element="stockticker">
        <w:r w:rsidRPr="00EE09D7">
          <w:rPr>
            <w:rFonts w:ascii="Arial" w:hAnsi="Arial" w:cs="Arial"/>
            <w:color w:val="000000"/>
            <w:spacing w:val="-3"/>
          </w:rPr>
          <w:t>III</w:t>
        </w:r>
      </w:smartTag>
      <w:r w:rsidRPr="00EE09D7">
        <w:rPr>
          <w:rFonts w:ascii="Arial" w:hAnsi="Arial" w:cs="Arial"/>
          <w:color w:val="000000"/>
          <w:spacing w:val="-3"/>
        </w:rPr>
        <w:t xml:space="preserve"> and IV of </w:t>
      </w:r>
      <w:hyperlink r:id="rId7" w:history="1">
        <w:r w:rsidRPr="00EE09D7">
          <w:rPr>
            <w:rStyle w:val="Hyperlink"/>
            <w:rFonts w:ascii="Arial" w:hAnsi="Arial" w:cs="Arial"/>
            <w:spacing w:val="-3"/>
          </w:rPr>
          <w:t>Schedule 2</w:t>
        </w:r>
      </w:hyperlink>
      <w:r w:rsidRPr="00EE09D7">
        <w:rPr>
          <w:rFonts w:ascii="Arial" w:hAnsi="Arial" w:cs="Arial"/>
          <w:color w:val="000000"/>
          <w:spacing w:val="-3"/>
        </w:rPr>
        <w:t xml:space="preserve"> to the Misuse of Drugs Act 1971 and in </w:t>
      </w:r>
      <w:hyperlink r:id="rId8" w:history="1">
        <w:r w:rsidRPr="00EE09D7">
          <w:rPr>
            <w:rStyle w:val="Hyperlink"/>
            <w:rFonts w:ascii="Arial" w:hAnsi="Arial" w:cs="Arial"/>
            <w:spacing w:val="-3"/>
          </w:rPr>
          <w:t>Schedules 1 to 5</w:t>
        </w:r>
      </w:hyperlink>
      <w:r w:rsidRPr="00EE09D7">
        <w:rPr>
          <w:rFonts w:ascii="Arial" w:hAnsi="Arial" w:cs="Arial"/>
          <w:color w:val="000000"/>
          <w:spacing w:val="-3"/>
        </w:rPr>
        <w:t xml:space="preserve"> to the Mi</w:t>
      </w:r>
      <w:bookmarkStart w:id="0" w:name="_GoBack"/>
      <w:bookmarkEnd w:id="0"/>
      <w:r w:rsidRPr="00EE09D7">
        <w:rPr>
          <w:rFonts w:ascii="Arial" w:hAnsi="Arial" w:cs="Arial"/>
          <w:color w:val="000000"/>
          <w:spacing w:val="-3"/>
        </w:rPr>
        <w:t>suse of Drugs Regulations 2001. Reference may also be made to Home Office Licensing Section [at</w:t>
      </w:r>
      <w:r w:rsidRPr="00EE09D7">
        <w:rPr>
          <w:rFonts w:ascii="Arial" w:hAnsi="Arial" w:cs="Arial"/>
          <w:color w:val="000000"/>
          <w:lang w:val="en"/>
        </w:rPr>
        <w:t xml:space="preserve"> licensing_enquiry.aadu@homeoffice.gsi.gov.uk]</w:t>
      </w:r>
      <w:r w:rsidRPr="00EE09D7">
        <w:rPr>
          <w:rFonts w:ascii="Arial" w:hAnsi="Arial" w:cs="Arial"/>
          <w:color w:val="000000"/>
          <w:spacing w:val="-3"/>
        </w:rPr>
        <w:t xml:space="preserve"> who hold a more detailed list of drugs in Schedules 1 and 2.</w:t>
      </w:r>
    </w:p>
    <w:p w:rsidR="00144B9D" w:rsidRDefault="00144B9D" w:rsidP="00144B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38"/>
        <w:gridCol w:w="2305"/>
      </w:tblGrid>
      <w:tr w:rsidR="00144B9D" w:rsidRPr="004352B1" w:rsidTr="00EB0E1E">
        <w:trPr>
          <w:trHeight w:val="516"/>
          <w:tblHeader/>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u w:val="single"/>
              </w:rPr>
              <w:t>Drug</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u w:val="single"/>
              </w:rPr>
              <w:t>Class</w:t>
            </w:r>
          </w:p>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u w:val="single"/>
              </w:rPr>
              <w:t>(</w:t>
            </w:r>
            <w:smartTag w:uri="urn:schemas-microsoft-com:office:smarttags" w:element="stockticker">
              <w:r w:rsidRPr="004352B1">
                <w:rPr>
                  <w:rFonts w:ascii="Arial" w:hAnsi="Arial" w:cs="Arial"/>
                  <w:color w:val="000000"/>
                  <w:spacing w:val="-3"/>
                  <w:u w:val="single"/>
                </w:rPr>
                <w:t>MDA</w:t>
              </w:r>
            </w:smartTag>
            <w:r w:rsidRPr="004352B1">
              <w:rPr>
                <w:rFonts w:ascii="Arial" w:hAnsi="Arial" w:cs="Arial"/>
                <w:color w:val="000000"/>
                <w:spacing w:val="-3"/>
                <w:u w:val="single"/>
              </w:rPr>
              <w:t>)</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u w:val="single"/>
              </w:rPr>
              <w:t>Schedule</w:t>
            </w:r>
          </w:p>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u w:val="single"/>
              </w:rPr>
              <w:t>(</w:t>
            </w:r>
            <w:smartTag w:uri="urn:schemas-microsoft-com:office:smarttags" w:element="stockticker">
              <w:r w:rsidRPr="004352B1">
                <w:rPr>
                  <w:rFonts w:ascii="Arial" w:hAnsi="Arial" w:cs="Arial"/>
                  <w:color w:val="000000"/>
                  <w:spacing w:val="-3"/>
                  <w:u w:val="single"/>
                </w:rPr>
                <w:t>MDR</w:t>
              </w:r>
            </w:smartTag>
            <w:r w:rsidRPr="004352B1">
              <w:rPr>
                <w:rFonts w:ascii="Arial" w:hAnsi="Arial" w:cs="Arial"/>
                <w:color w:val="000000"/>
                <w:spacing w:val="-3"/>
                <w:u w:val="single"/>
              </w:rPr>
              <w:t>)</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Acetorphine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Acetyldihydrocodeine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Adinazolam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Alfentanil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Allobarbital (Allobarbitone)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Allyl(α-methyl-3,4-methylenedioxyphenethyl)amine (MDAL)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Allylprodine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Alphacetylmethadol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Alphameprodine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Alphamethadol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α Methylfentanyl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Alphaprodine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Alphenal (5-Ally-5-Phenylbarbituric Acid)</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Alprazolam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Amineptine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Aminorex</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Amobarbital (Amylobarbitone)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Androst-4-ene-3,17-diol (4-Androstenediol)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Anhydroecgonine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Anileridine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Aprobarbital (Aprobarbitone)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Atamestane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Barbital (Barbitone)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Barbituric acid, (any 5,5 disubstituted)</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Benzethidine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Benzoylecgonine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Benzphetamine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Benzyl(α-methyl-3,4-methylenedioxyphenethyl)amine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Benzylmorphine (3-benzylmorphine)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Betacetylmethadol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Betameprodine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Betamethadol</w:t>
            </w:r>
            <w:r w:rsidRPr="004352B1">
              <w:rPr>
                <w:rFonts w:ascii="Arial" w:hAnsi="Arial" w:cs="Arial"/>
                <w:color w:val="000000"/>
                <w:spacing w:val="-3"/>
              </w:rPr>
              <w:tab/>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β-Methoxy-3,4-methylenedioxyphenethylamine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Betaprodine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Bezitramide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lang w:val="nl-NL"/>
              </w:rPr>
              <w:t>Bolandiol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lang w:val="nl-NL"/>
              </w:rPr>
              <w:t>Bolasterone</w:t>
            </w:r>
            <w:r w:rsidRPr="004352B1">
              <w:rPr>
                <w:rFonts w:ascii="Arial" w:hAnsi="Arial" w:cs="Arial"/>
                <w:color w:val="000000"/>
                <w:spacing w:val="-3"/>
                <w:lang w:val="nl-N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Bolazine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Boldenone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Boldione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Bolenol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Bolmantalate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Bromazepam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 xml:space="preserve">Bromazolam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Bromophenethylamine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Brotizolam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Bufotenine (5-Methoxydimethyltryptamine)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Buprenorphine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Butalbarbital (Secbutobarbital)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Butalibtal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Butallylonal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Butethal (Butobarbital/Butobarbitone)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Calusterone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Camazepam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Cannabinol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Cannabinol derivatives (</w:t>
            </w:r>
            <w:r w:rsidRPr="004352B1">
              <w:rPr>
                <w:rFonts w:ascii="Arial" w:hAnsi="Arial" w:cs="Arial"/>
                <w:b/>
                <w:color w:val="000000"/>
                <w:spacing w:val="-3"/>
                <w:u w:val="single"/>
              </w:rPr>
              <w:t>except</w:t>
            </w:r>
            <w:r w:rsidRPr="004352B1">
              <w:rPr>
                <w:rFonts w:ascii="Arial" w:hAnsi="Arial" w:cs="Arial"/>
                <w:color w:val="000000"/>
                <w:spacing w:val="-3"/>
              </w:rPr>
              <w:t xml:space="preserve"> dronabinol or its stereoisomers)</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Cannabis</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Cannabis resin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Cannabis oil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‘Sativex’</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r w:rsidRPr="004352B1">
              <w:rPr>
                <w:rFonts w:ascii="Arial" w:hAnsi="Arial" w:cs="Arial"/>
                <w:color w:val="000000"/>
                <w:spacing w:val="-3"/>
                <w:vertAlign w:val="superscript"/>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Carfentanyl (Carfentanil)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Cathine ((+)-norpseudoephedrine)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Cathinone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Cathinone derivatives</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Chlordiazepoxide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Chloromethamphetamine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Chloroamphetamine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Chlorophentermine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Chlorophenethylamine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Chorionic gonadotrophin (HCG)</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Clenbuterol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Clobazam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Clonazepam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 xml:space="preserve">Clonazolam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Clonitazene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Clorazepic acid (Chlorazepate)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Clostebol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Clotiazepam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Cloxazolam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Coca leaf</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Cocaethylene (ethylbenzoylecgonine)</w:t>
            </w:r>
            <w:r w:rsidRPr="004352B1">
              <w:rPr>
                <w:rFonts w:ascii="Arial" w:hAnsi="Arial" w:cs="Arial"/>
                <w:color w:val="000000"/>
                <w:spacing w:val="-3"/>
              </w:rPr>
              <w:tab/>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Cocaine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Codeine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Cyclobarbital (Cyclobarbitone)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Cyclopentobarbital (Cyclopentobarbitone)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Cyclopropylmethyl(α-methyl-3,4-methylenedioxyphenethyl)amine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Danazol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Delorazepam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Deschloroetizolam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Desomorphine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Desoxymethyltestosterone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rPr>
              <w:t>Desoxypipradrol (2-diphenylmethyl-piperidine, 2-DPMP)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Dextromoramide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Dextropropoxyphene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4</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Diamorphine (Diacetylmorphine)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Diampromide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Diclazepam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Diethylpropion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Diethylthiambutene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Difenoxin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5</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lastRenderedPageBreak/>
              <w:t>Dihydrocodeine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Dimethyl(α-methyl-3,4-methylenedioxyphenethyl)amine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α,α-Dimethyl-3,4-methylenedioxyphenethylamine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α,α-Dimethyl-3,4-methylenedioxyphenethyl(methyl)amine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Dihydrocodeinone-0-carboxymethyloxime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Dihydroetorphine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Dihydromorphine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Dimenoxadole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Dimepheptanol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Dimethylthiambutene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Dioxaphetyl butyrate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Diphenoxylate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6</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rPr>
              <w:t>Diphenylprolinol (diphenyl-2-pyrrolidinyl-methanol, D2PM)</w:t>
            </w:r>
            <w:r w:rsidRPr="004352B1">
              <w:rPr>
                <w:rFonts w:ascii="Arial" w:hAnsi="Arial" w:cs="Aria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Dipipanone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 xml:space="preserve">Dronabinol </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Drotebanol (3,4-dimethoxy-17-methylmorphinan- 6</w:t>
            </w:r>
            <w:r w:rsidRPr="004352B1">
              <w:rPr>
                <w:rFonts w:ascii="Arial" w:hAnsi="Arial" w:cs="Arial"/>
                <w:color w:val="000000"/>
              </w:rPr>
              <w:sym w:font="Symbol" w:char="F062"/>
            </w:r>
            <w:r w:rsidRPr="004352B1">
              <w:rPr>
                <w:rFonts w:ascii="Arial" w:hAnsi="Arial" w:cs="Arial"/>
                <w:color w:val="000000"/>
              </w:rPr>
              <w:t>, 14-diol)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Drostanolone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rPr>
              <w:t>Ecgonine and any derivative of ecgonine which is convertible to ecgonine or to cocaine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Enestebol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Epitiostanol</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lang w:val="nl-NL"/>
              </w:rPr>
              <w:t>Estazolam</w:t>
            </w:r>
            <w:r w:rsidRPr="004352B1">
              <w:rPr>
                <w:rFonts w:ascii="Arial" w:hAnsi="Arial" w:cs="Arial"/>
                <w:color w:val="000000"/>
                <w:lang w:val="nl-N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lang w:val="nl-NL"/>
              </w:rPr>
              <w:t>Ethchlorvynol</w:t>
            </w:r>
            <w:r w:rsidRPr="004352B1">
              <w:rPr>
                <w:rFonts w:ascii="Arial" w:hAnsi="Arial" w:cs="Arial"/>
                <w:color w:val="000000"/>
                <w:lang w:val="nl-N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Ethinamate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Ethyl Ioflazepate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Ethylmethylthiambutene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Ethylmorphine (3-Ethylmorphine)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rPr>
            </w:pPr>
            <w:r>
              <w:rPr>
                <w:rFonts w:ascii="Arial" w:hAnsi="Arial" w:cs="Arial"/>
                <w:color w:val="000000"/>
              </w:rPr>
              <w:t xml:space="preserve">Ethylnaphthidate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Ethyloestrenol</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rPr>
            </w:pPr>
            <w:r>
              <w:rPr>
                <w:rFonts w:ascii="Arial" w:hAnsi="Arial" w:cs="Arial"/>
                <w:color w:val="000000"/>
              </w:rPr>
              <w:t xml:space="preserve">Ethylphenidate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Eticyclidine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rPr>
            </w:pPr>
            <w:r>
              <w:rPr>
                <w:rFonts w:ascii="Arial" w:hAnsi="Arial" w:cs="Arial"/>
                <w:color w:val="000000"/>
              </w:rPr>
              <w:t>Etizolam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Etonitazene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lastRenderedPageBreak/>
              <w:t>Etoxeridine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Etryptamine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Fencamfamin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Fenethylline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Fenproporex</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Fentanyl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Flubromazepam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Flubromazolam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Fludiazepam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Flunitrazepam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Flurophenethylamine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Fluoxymesterone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Flurazepam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Fonazepam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Formebolone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rPr>
              <w:t>Fungus (of any kind) which contains psilocin or an ester of psilocin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Furazabol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Furethidine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Gamma-butyrolactone (</w:t>
            </w:r>
            <w:smartTag w:uri="urn:schemas-microsoft-com:office:smarttags" w:element="stockticker">
              <w:r w:rsidRPr="004352B1">
                <w:rPr>
                  <w:rFonts w:ascii="Arial" w:hAnsi="Arial" w:cs="Arial"/>
                  <w:color w:val="000000"/>
                  <w:spacing w:val="-3"/>
                </w:rPr>
                <w:t>GBL</w:t>
              </w:r>
            </w:smartTag>
            <w:r w:rsidRPr="004352B1">
              <w:rPr>
                <w:rFonts w:ascii="Arial" w:hAnsi="Arial" w:cs="Arial"/>
                <w:color w:val="000000"/>
                <w:spacing w:val="-3"/>
              </w:rPr>
              <w:t>) (for human ingestion)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n/a</w:t>
            </w:r>
            <w:r w:rsidRPr="004352B1">
              <w:rPr>
                <w:rFonts w:ascii="Arial" w:hAnsi="Arial" w:cs="Arial"/>
                <w:color w:val="000000"/>
                <w:spacing w:val="-3"/>
                <w:vertAlign w:val="superscript"/>
              </w:rPr>
              <w:t>7</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Gamma-hydroxybutyrate (GHB – 4- Hydroxy-n-butyric acid)</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 xml:space="preserve">Gestrinone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lang w:val="nl-NL"/>
              </w:rPr>
              <w:t>Glutethimide</w:t>
            </w:r>
            <w:r w:rsidRPr="004352B1">
              <w:rPr>
                <w:rFonts w:ascii="Arial" w:hAnsi="Arial" w:cs="Arial"/>
                <w:color w:val="000000"/>
                <w:spacing w:val="-3"/>
                <w:lang w:val="nl-N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Halazepam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Haloxazolam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Heptobarbital (Heptobarbitone)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Hexethal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Homoveratrylamine (3,4-dimethoxyphenethylamine)</w:t>
            </w:r>
            <w:r w:rsidRPr="004352B1">
              <w:rPr>
                <w:rFonts w:ascii="Arial" w:hAnsi="Arial" w:cs="Arial"/>
                <w:color w:val="000000"/>
                <w:spacing w:val="-3"/>
              </w:rPr>
              <w:tab/>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Hydroxybenzoylecgonine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Hydroxycocaine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Hydrocodone (dihydrocodeinone)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Hydromorphinol (14-Hydroxydihydromorphine)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Hydromorphone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Hydroxypethidine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Isomethadone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Isopropylphenidate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B05CA3">
              <w:rPr>
                <w:rFonts w:ascii="Arial" w:hAnsi="Arial" w:cs="Arial"/>
                <w:color w:val="000000"/>
                <w:spacing w:val="-3"/>
              </w:rPr>
              <w:lastRenderedPageBreak/>
              <w:t>Ketamine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Ketazolam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Ketobemidone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Khat</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Lefetamine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Levomethorphan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Levomoramide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Levophenacylmorphan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Levorphanol / Dextrorphan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Lisdexamphetamine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Lofentanil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Loprazolam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Lorazepam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Lormetazepam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Lysergamide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Lysergic acid diethylamide (LSD)</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Lysergic Acid N-(Methylopropyl) 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Lysergide (&amp; other N-alkyl derivatives of lysergamide)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Mazindol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Mebolazine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6E384D"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6E384D">
              <w:rPr>
                <w:rFonts w:ascii="Arial" w:hAnsi="Arial" w:cs="Arial"/>
                <w:color w:val="000000"/>
                <w:spacing w:val="-3"/>
              </w:rPr>
              <w:t xml:space="preserve">Meclonazepam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6E384D"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6E384D">
              <w:rPr>
                <w:rFonts w:ascii="Arial" w:hAnsi="Arial" w:cs="Arial"/>
                <w:color w:val="000000"/>
                <w:spacing w:val="-3"/>
              </w:rPr>
              <w:t>Mecloqualone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Medazepam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Mefenorex</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Mephentermine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Mepitiostane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Meprobamate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Mesabolone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Mescaline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Mesocarb</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Mestanolone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Metazocine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Mesterolone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Methadone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Methadyl acetate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Methylmorphenate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lastRenderedPageBreak/>
              <w:t>Methylnaphthidate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α – Methyl-3,4-methylenedioxyphenethyl(prop-2-ynyl)amine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α – Methylphenethylhydroxylamine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Methandienone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Methandriol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144B9D">
              <w:rPr>
                <w:rFonts w:ascii="Arial" w:hAnsi="Arial" w:cs="Arial"/>
                <w:color w:val="000000"/>
                <w:spacing w:val="-3"/>
              </w:rPr>
              <w:t>Methaqualone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Methcathinone</w:t>
            </w:r>
            <w:r w:rsidRPr="004352B1">
              <w:rPr>
                <w:rFonts w:ascii="Arial" w:hAnsi="Arial" w:cs="Arial"/>
                <w:color w:val="000000"/>
                <w:spacing w:val="-3"/>
              </w:rPr>
              <w:tab/>
              <w:t>(Ephedrone)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Methenolone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Methyldesorphine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Methyldihydromorphine (6-methyldihydromorphine)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Methylecgonidine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Methylenedioxyamphetamine (</w:t>
            </w:r>
            <w:smartTag w:uri="urn:schemas-microsoft-com:office:smarttags" w:element="stockticker">
              <w:r w:rsidRPr="004352B1">
                <w:rPr>
                  <w:rFonts w:ascii="Arial" w:hAnsi="Arial" w:cs="Arial"/>
                  <w:color w:val="000000"/>
                  <w:spacing w:val="-3"/>
                </w:rPr>
                <w:t>MDA</w:t>
              </w:r>
            </w:smartTag>
            <w:r w:rsidRPr="004352B1">
              <w:rPr>
                <w:rFonts w:ascii="Arial" w:hAnsi="Arial" w:cs="Arial"/>
                <w:color w:val="000000"/>
                <w:spacing w:val="-3"/>
              </w:rPr>
              <w:t>)</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Methylenedioxyethylamphetamine (</w:t>
            </w:r>
            <w:smartTag w:uri="urn:schemas-microsoft-com:office:smarttags" w:element="stockticker">
              <w:r w:rsidRPr="004352B1">
                <w:rPr>
                  <w:rFonts w:ascii="Arial" w:hAnsi="Arial" w:cs="Arial"/>
                  <w:color w:val="000000"/>
                  <w:spacing w:val="-3"/>
                </w:rPr>
                <w:t>MDEA</w:t>
              </w:r>
            </w:smartTag>
            <w:r w:rsidRPr="004352B1">
              <w:rPr>
                <w:rFonts w:ascii="Arial" w:hAnsi="Arial" w:cs="Arial"/>
                <w:color w:val="000000"/>
                <w:spacing w:val="-3"/>
              </w:rPr>
              <w: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Methylenedioxypyrovalerone (MDPV)</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Methylphenidate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Methylphenobarbital (Methylphenobarbitone)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Methyltestosterone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Methyprylone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Metizolam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Metopon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Metribolone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Mibolerone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Midazolam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Morpheridine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Morphine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8</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3-Monoacetylmorphine (3-MAM)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6-Monoacetylmorphine (6-MAM)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Morphine-3-B-D-Glucoride-N-Oxide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Morphine-3-B-D-Glucuronide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lang w:val="fr-FR"/>
              </w:rPr>
              <w:t>Morphine-6-B-D-glucuronide-N-oxide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rPr>
              <w:t>Morphine methobromide (&amp; morphine N-oxide &amp; other pentavalent nitrogen morphine derivatives)</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Myrophine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N-Benzyl-ethylphenidate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N-Benzylpethidine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lastRenderedPageBreak/>
              <w:t>N-(4-sec-Butylthio-2,5-dimethoxyphenethyl)hydroxylamine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N-(2,5-Dimethoxy-4-propylthiophenthyl)hydroxylamine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N-(4-Ethylthio-2,5-dimethoxyphenethyl)hydroxylamine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N,N-Dimethyltryptamine (DET)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N,N-Dimethyltryptamine (DMT)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N-Ethylamphetamine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N-Ethyl-1(3-methoxyphenyl)cyclohexylamine (3-MeO-PCE)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N-Hydroxy-tenamphetamine (MDOH)</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 xml:space="preserve">N-Methylhomoveratrylamine </w:t>
            </w:r>
            <w:r w:rsidRPr="004352B1">
              <w:rPr>
                <w:rFonts w:ascii="Arial" w:hAnsi="Arial" w:cs="Arial"/>
                <w:color w:val="000000"/>
                <w:spacing w:val="-3"/>
              </w:rPr>
              <w:tab/>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N-Methyl Lysergic Acid Diethylamide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N-Methyl-1(3,4-methylenedioxyphenyl)-2-butanamine (MBDB)</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N-Methyl-N-(α –methyl-3,4-methylenedioxyphenethyl)hydroxylamine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N-Methyltryptamine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Nabilone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Nandrolone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Napthylpyrovalerone (naphyrone)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Nealbarbitone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lang w:val="nl-NL"/>
              </w:rPr>
              <w:t>N-ethyl-nor-ketamine</w:t>
            </w:r>
            <w:r w:rsidRPr="004352B1">
              <w:rPr>
                <w:rFonts w:ascii="Arial" w:hAnsi="Arial" w:cs="Arial"/>
                <w:color w:val="000000"/>
                <w:spacing w:val="-3"/>
                <w:lang w:val="nl-N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lang w:val="nl-NL"/>
              </w:rPr>
              <w:t>Nicocodine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lang w:val="nl-NL"/>
              </w:rPr>
              <w:t>Nicodicodine (6-nicotinoyldihydrocodeine)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Nicomorphine (3,6-dinicotinoyl-morphine)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Nifoxipam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Nimetazepam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Nitrazepam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Nitrazolam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Non-human chorionic gonadotrophin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Noracymethadol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Norboletone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Norclostebol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Norcocaine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Norcodeine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Nordazepam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Norethandrolone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Norlevorphanol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lastRenderedPageBreak/>
              <w:t>Normethadone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Norpethidine (4-Phenylpiperidine-4-carboxylic acid ethyl ester)</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Norpipanone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O-Methyl-N-(α-methyl-3,4-methylenedioxyphenethyl)hydroxylamine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rPr>
              <w:t>Opium: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p>
        </w:tc>
      </w:tr>
      <w:tr w:rsidR="00144B9D" w:rsidRPr="004352B1" w:rsidTr="00EB0E1E">
        <w:trPr>
          <w:trHeight w:val="340"/>
        </w:trPr>
        <w:tc>
          <w:tcPr>
            <w:tcW w:w="4673" w:type="dxa"/>
            <w:shd w:val="clear" w:color="auto" w:fill="auto"/>
            <w:vAlign w:val="center"/>
          </w:tcPr>
          <w:p w:rsidR="00144B9D" w:rsidRPr="004352B1" w:rsidRDefault="00144B9D" w:rsidP="00EB0E1E">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rPr>
              <w:t>Raw</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rPr>
              <w:t>Prepared or Medicinal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w:t>
            </w:r>
            <w:r w:rsidRPr="004352B1">
              <w:rPr>
                <w:rFonts w:ascii="Arial" w:hAnsi="Arial" w:cs="Arial"/>
                <w:color w:val="000000"/>
                <w:spacing w:val="-3"/>
                <w:vertAlign w:val="superscript"/>
              </w:rPr>
              <w:t>89</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 xml:space="preserve">Oripavine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Ovandrotone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Oxabolone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Oxandrolone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Oxycodone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Oxymesterone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Oxymetholone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Oxymorphone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Pemoline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rPr>
            </w:pPr>
            <w:r w:rsidRPr="004352B1">
              <w:rPr>
                <w:rFonts w:ascii="Arial" w:hAnsi="Arial" w:cs="Arial"/>
                <w:color w:val="000000"/>
                <w:spacing w:val="-3"/>
              </w:rPr>
              <w:t>Pentazocine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Pentobarbital (Pentobarbitone)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Pethidine (Meperidine)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Phenadoxone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Phenampromide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Phenazepam(7-Bromo-5-(2-chlorophenyl)-1,3-dihydro-2H-1,4-benzodiazepin-2-one)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Phenazocine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Phencyclidine (PCP)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Phendimetrazine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Phenmetrazine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Phenobarbital (Phenobarbitone)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Phenomorphan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Phenoperidine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Phentermine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Pholcodine (Morpholinylethylmorphine)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r w:rsidRPr="004352B1">
              <w:rPr>
                <w:rFonts w:ascii="Arial" w:hAnsi="Arial" w:cs="Arial"/>
                <w:color w:val="000000"/>
                <w:spacing w:val="-3"/>
                <w:vertAlign w:val="superscript"/>
              </w:rPr>
              <w:t>1</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2/5</w:t>
            </w:r>
            <w:r w:rsidRPr="004352B1">
              <w:rPr>
                <w:rFonts w:ascii="Arial" w:hAnsi="Arial" w:cs="Arial"/>
                <w:color w:val="000000"/>
                <w:spacing w:val="-3"/>
                <w:vertAlign w:val="superscript"/>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Piminodine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Pinazepam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Pipradrol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Piritramide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Poppy straw (and concentrate)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n/a</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Prasterone (Dehydroepiandrosterone DHEA)</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Probarbital (Probarbitone)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Proheptazine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Propallylonal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Properidine (1-methyl-4-phenyl-piperidine-4-carboxylic acid isopropyl ester)</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Propetandrol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Propiram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2/5</w:t>
            </w:r>
            <w:r w:rsidRPr="004352B1">
              <w:rPr>
                <w:rFonts w:ascii="Arial" w:hAnsi="Arial" w:cs="Arial"/>
                <w:color w:val="000000"/>
                <w:spacing w:val="-3"/>
                <w:vertAlign w:val="superscript"/>
              </w:rPr>
              <w:t>10</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Propylbenzoylecganine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Propylphenidate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Prostanozol </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Proxibarbital (Proxibarbitone)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Psilocin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Pyrazolam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Pyrovalerone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Quinalbarbital (Quinalbarbitone</w:t>
            </w:r>
            <w:r>
              <w:rPr>
                <w:rFonts w:ascii="Arial" w:hAnsi="Arial" w:cs="Arial"/>
                <w:color w:val="000000"/>
                <w:spacing w:val="-3"/>
              </w:rPr>
              <w:t>/Secobarbital</w:t>
            </w:r>
            <w:r w:rsidRPr="004352B1">
              <w:rPr>
                <w:rFonts w:ascii="Arial" w:hAnsi="Arial" w:cs="Arial"/>
                <w:color w:val="000000"/>
                <w:spacing w:val="-3"/>
              </w:rPr>
              <w:t>)</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Quinbolone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Racemethorphan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Racemoramide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Racemorphan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Remifentanil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Rolicyclidine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Roxibolone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Secbutobarbital (Secbutobarbitone)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Silandrone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Somatotropin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Somatrem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Somatropin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Stanolone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Stanozolol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Stenbolone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Sufentanil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Talbutal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Tapentadol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Temazepam</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Tenocyclidine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Testosterone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Tetrahydrocannabinol (Delta-THC)</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Tetrahydrogestrinone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Tetrazepam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Thebacon (acetyldihydrocodeinone)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Thebaine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Thiomesterone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Tilidine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Tramadol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Trenbolone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Triazolam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Trimeperidine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U-47, 700</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Vinbarbital (</w:t>
            </w:r>
            <w:r w:rsidRPr="004352B1">
              <w:rPr>
                <w:rFonts w:ascii="Arial" w:hAnsi="Arial" w:cs="Arial"/>
                <w:color w:val="000000"/>
                <w:spacing w:val="-3"/>
                <w:lang w:val="nl-NL"/>
              </w:rPr>
              <w:t>Vinbarbitone)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Vinylbital (Vinylbitone)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3</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Zaleplon</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Zeranol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Zilpaterol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Zipeprol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Zolpidem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Zopiclone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1-Androstenediol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1-Androstenedione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1-benzylpiperazine (BZP)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1-(Benzofuran-5-yl)-propan-2-amine (5-APB)</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1-(Benzofuran-6-yl)-propan-2-amine (6-APB)</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1-Benzyl-4-methylpiperazine (BZMP)</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1,4-Butanediol (1,4-BD) (for human ingestion)</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vertAlign w:val="superscript"/>
              </w:rPr>
            </w:pPr>
            <w:r w:rsidRPr="004352B1">
              <w:rPr>
                <w:rFonts w:ascii="Arial" w:hAnsi="Arial" w:cs="Arial"/>
                <w:color w:val="000000"/>
                <w:spacing w:val="-3"/>
              </w:rPr>
              <w:t>n/a</w:t>
            </w:r>
            <w:r w:rsidRPr="004352B1">
              <w:rPr>
                <w:rFonts w:ascii="Arial" w:hAnsi="Arial" w:cs="Arial"/>
                <w:color w:val="000000"/>
                <w:spacing w:val="-3"/>
                <w:vertAlign w:val="superscript"/>
              </w:rPr>
              <w:t>7</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1-(3-Chlorophenyl)-4-(3-chloropropyl)piperazine (CPCPP)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1-(3-Chlorophenyl)piperazine (mCPP)</w:t>
            </w:r>
            <w:r w:rsidRPr="004352B1">
              <w:rPr>
                <w:rFonts w:ascii="Arial" w:hAnsi="Arial" w:cs="Arial"/>
                <w:color w:val="000000"/>
                <w:spacing w:val="-3"/>
              </w:rPr>
              <w:tab/>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1-(4-Chlorophenyl)piperazine (pCPP)</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1-Cyclohexyl-4-(1,2-diphenylethyl)piperazine (MT-45)</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1,4-Dibenzylpiperazine (DBZP)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1-(2,3-Dihydro-1-benzofuran-5-yl)-propan-2-amine (5-APDB)</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1-(2,3-Dihydro-1-benzofuran-6-yl)-propan-2-amine (6-APDB)</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1-(4-Fluorophenyl)piperazine pFPP)</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1-(5-Fluoropentyl)-3-(4-methyl-naphthoyl)indole (MAM-2201)</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1-(5-Fluororentyl)-3-(2-idodbenzoyl)indole (AM-694)</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1-(5-Fluoropentyl)-3-(naphthalene-1-oyl)indole (AM-2201)</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1-methyl-4-phenylpiperidine-4-carboxylic acid</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1-(3,4-Methylenedioxybenzyl)butyl(ethyl)amine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1-(3,4-Methylenedioxybenzyl)butyl(methyl)amine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1-(3-Methylphenyl)piperazine (mMPP)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1-(4-Methoxyphenyl)piperazine (pMeOPP)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rPr>
              <w:t>1-[1-(3-methoxyphenyl)cyclohexyl]-piperidine (3-MeO-PCP)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1-[1-(4-methoxyphenyl)cyclohexyl]-piperidine (4-MeO-PCP)</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1-(4-Methylphenyl)piperazine (pMPP)</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rPr>
              <w:t>1-pentyl-3-(2-iodobenzoyl)indole (AM-679)</w:t>
            </w:r>
            <w:r w:rsidRPr="004352B1">
              <w:rPr>
                <w:rFonts w:ascii="Arial" w:hAnsi="Arial" w:cs="Aria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1-Pentyl-3-(2,2,3,3-tetramethylcyclopropylcarbonyl)indole (UR-144)</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1-(3-Trifluoromethylphenyl)piperazine (TFMPP)</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2-Amino-1-(2,5-dimethoxy-4-methylphenyl)ethanol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2-Amino-1-(3,4-dimethoxyphenyl)ethanol</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2-(4-Bromo-2,5-dimethoxyphenyl)-N-[(2-methoxyphenol)methyl] ethanamine (25B-NBOMe)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2-β-Carbomethoxy-3-β-(4-Iodophenyl)tropane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2-Chloro-6-fluorophenethylamine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2-(4-Chloro-2,5-dimethoxyphenyl)-N-[(2-metho</w:t>
            </w:r>
            <w:r>
              <w:rPr>
                <w:rFonts w:ascii="Arial" w:hAnsi="Arial" w:cs="Arial"/>
                <w:color w:val="000000"/>
                <w:spacing w:val="-3"/>
              </w:rPr>
              <w:t>xyphenyl)methyl] ethanamine (25C</w:t>
            </w:r>
            <w:r w:rsidRPr="004352B1">
              <w:rPr>
                <w:rFonts w:ascii="Arial" w:hAnsi="Arial" w:cs="Arial"/>
                <w:color w:val="000000"/>
                <w:spacing w:val="-3"/>
              </w:rPr>
              <w:t>-NBOMe)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2-(1,4-Dimethoxy-2-naphthyl)ethylamine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2-(1,4-Dimethoxy-2-naphthyl)-1-methylethylamine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2-(1,4-Dimethoxy-5,6,7,8-tetrahydro-2-naphthyl)ethylamine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2-(1,4-Dimethoxy-5,6,7,8-tetrahydro-2-naphthyl) -1-methylethylamine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2-(2,5-Dimethoxy-4-methylphenyl)cyclopropylamine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2,5-Dimethoxy-4-(N)-propylthiophenethylamine (2C-T-7)</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2-(3,4-di</w:t>
            </w:r>
            <w:r>
              <w:rPr>
                <w:rFonts w:ascii="Arial" w:hAnsi="Arial" w:cs="Arial"/>
                <w:color w:val="000000"/>
                <w:spacing w:val="-3"/>
              </w:rPr>
              <w:t>methoxyphenyl)ethylamine or Hom</w:t>
            </w:r>
            <w:r w:rsidRPr="004352B1">
              <w:rPr>
                <w:rFonts w:ascii="Arial" w:hAnsi="Arial" w:cs="Arial"/>
                <w:color w:val="000000"/>
                <w:spacing w:val="-3"/>
              </w:rPr>
              <w:t>overatrylamine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2-(4,7-Dimethoxy-2,3-dihydro-1H-indan-5-yl)ethylamine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2-(4,7-Dimethoxy-2,3-dihydro-1H-indan-5-yl)-1-methylethylamine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2,4-Dichlorophenethylamine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2,4-Dimethylazetidinyl[(6aR, 9R)-7-methyl-4,6,6a,7,8,9-hexahydroindolo[4,3-fg]quinolin-9-yl]methanine (LSZ)</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2,5-Dimethoxy-4-Bromoamphetamine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2,5-Dimethoxy-4-Iodoamphetamone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2,5-Dimethoxy-4-Methylamphetamine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w:t>
            </w:r>
            <w:r w:rsidRPr="004352B1">
              <w:rPr>
                <w:rFonts w:ascii="Arial" w:hAnsi="Arial" w:cs="Arial"/>
                <w:color w:val="000000"/>
                <w:spacing w:val="-3"/>
              </w:rPr>
              <w:sym w:font="Symbol" w:char="F061"/>
            </w:r>
            <w:r w:rsidRPr="004352B1">
              <w:rPr>
                <w:rFonts w:ascii="Arial" w:hAnsi="Arial" w:cs="Arial"/>
                <w:color w:val="000000"/>
                <w:spacing w:val="-3"/>
              </w:rPr>
              <w:t>, 4-dimethylphenethylamine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2,5-dimethoxy-4-iodoamphetamine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2-(2,5-Dimethoxy-4-methylphenyl)-N-[(2-methoxyphenyl)methyl] </w:t>
            </w:r>
            <w:r w:rsidRPr="004352B1">
              <w:rPr>
                <w:rFonts w:ascii="Arial" w:hAnsi="Arial" w:cs="Arial"/>
              </w:rPr>
              <w:t>ethanamine (25D-NBOMe)</w:t>
            </w:r>
            <w:r w:rsidRPr="004352B1">
              <w:rPr>
                <w:rFonts w:ascii="Arial" w:hAnsi="Arial" w:cs="Aria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 xml:space="preserve">2-((dimethylamino)methyl)-1-(3-hydroxyphenyl)cyclohexanol </w:t>
            </w:r>
            <w:r w:rsidRPr="004352B1">
              <w:rPr>
                <w:rFonts w:ascii="Arial" w:hAnsi="Arial" w:cs="Arial"/>
              </w:rPr>
              <w:t>(</w:t>
            </w:r>
            <w:r w:rsidRPr="004352B1">
              <w:rPr>
                <w:rFonts w:ascii="Arial" w:hAnsi="Arial" w:cs="Arial"/>
                <w:i/>
                <w:iCs/>
              </w:rPr>
              <w:t>O</w:t>
            </w:r>
            <w:r w:rsidRPr="004352B1">
              <w:rPr>
                <w:rFonts w:ascii="Arial" w:hAnsi="Arial" w:cs="Arial"/>
              </w:rPr>
              <w:t>-desmethyltramadol)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2,6-Dichlorophenethylamine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rPr>
              <w:t>2-Diphenylmethylpyrrolidine</w:t>
            </w:r>
            <w:r w:rsidRPr="004352B1">
              <w:rPr>
                <w:rFonts w:ascii="Arial" w:hAnsi="Arial" w:cs="Arial"/>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 xml:space="preserve">2-(ethylamino)-2-(3-methoxyphenyl)cyclohexanone </w:t>
            </w:r>
            <w:r w:rsidRPr="004352B1">
              <w:rPr>
                <w:rFonts w:ascii="Arial" w:hAnsi="Arial" w:cs="Arial"/>
                <w:lang w:val="en-US"/>
              </w:rPr>
              <w:t xml:space="preserve"> (</w:t>
            </w:r>
            <w:r w:rsidRPr="004352B1">
              <w:rPr>
                <w:rFonts w:ascii="Arial" w:hAnsi="Arial" w:cs="Arial"/>
                <w:color w:val="000000"/>
                <w:spacing w:val="-3"/>
              </w:rPr>
              <w:t>methoxetamine)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
              </w:rPr>
            </w:pPr>
            <w:r w:rsidRPr="004352B1">
              <w:rPr>
                <w:rFonts w:ascii="Arial" w:hAnsi="Arial" w:cs="Arial"/>
                <w:color w:val="000000"/>
                <w:spacing w:val="-3"/>
                <w:lang w:val="en"/>
              </w:rPr>
              <w:t>2-(4-Iodo-2,5-dimethoxyphenyl)-N-[2-methoxyphenyl)methyl] ethanamine (25I-NBOMe)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
              </w:rPr>
            </w:pPr>
            <w:r w:rsidRPr="004352B1">
              <w:rPr>
                <w:rFonts w:ascii="Arial" w:hAnsi="Arial" w:cs="Arial"/>
                <w:color w:val="000000"/>
                <w:spacing w:val="-3"/>
                <w:lang w:val="en"/>
              </w:rPr>
              <w:t>2-(1,4-Methano-5,8-dimethoxy-1,2,3,4-tetrahydro-6-naphthyl) 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2-(1,4-Methoxy-5,8-dimethoxy-1,2,3,4-tetrahydro-6-naphthyl)-1-methylethylamine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2-(5-Methoxy-2-methyl-2,3-dihydrobenzo[β]furan-6-yl)-1-methylethylamine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2-(5-Methoxy-2,2-dimethyl-2,3-dihydrobenzo[β]furan-6-yl)-1-methylethylamine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lastRenderedPageBreak/>
              <w:t>2-(α-Methyl-3,4-methylenedioxyphenethylamino)ethanol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2-Methoxyethyl(α-methyl-3,4-methylenedioxyphenethyl)amine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2-(2-Methoxyphenyl)-2-(methylamino) cyclohexanone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2-Methyl-3-morpholino-1,1-diphenylpropane-carboxylic acid</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2-Methylamino-1-(3,4-methylenedioxyphenyl)butan-1-one (butylone)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2-Methylamino-1-(3,4-methlenedioxyphenyl)propan-1-one (methylone)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β 2,5-Trimethoxy-4-methylphenethylamine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3,4-Dichloro-N-[[1-(dimethylamino)cyclohexyl]methyl]benzamide (AH-7921)</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lang w:val="en"/>
              </w:rPr>
            </w:pPr>
            <w:r>
              <w:rPr>
                <w:rFonts w:ascii="Arial" w:hAnsi="Arial" w:cs="Arial"/>
                <w:color w:val="000000"/>
                <w:lang w:val="en"/>
              </w:rPr>
              <w:t>3-Hydroxyphenazepam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lang w:val="en"/>
              </w:rPr>
              <w:t>3-Fluoromethcathinone (3-FMC)</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3-Hydroxy-4-methoxyphenethylamine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3-Hydroxy-5αandrostan-17-one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3-Methoxy-4-ethoxy-alpha-methylphethylamine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3-Methoxy-4-Hydroxyamphetamine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3-Methoxy-4-Hydroxymethamphetamine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3-Methoxy-4-Hydroxyphenethylamine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3-Methyfentanyl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rPr>
            </w:pPr>
            <w:r>
              <w:rPr>
                <w:rFonts w:ascii="Arial" w:hAnsi="Arial" w:cs="Arial"/>
                <w:color w:val="000000"/>
              </w:rPr>
              <w:t>3,4-Dichloroethylphenidate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rPr>
            </w:pPr>
            <w:r>
              <w:rPr>
                <w:rFonts w:ascii="Arial" w:hAnsi="Arial" w:cs="Arial"/>
                <w:color w:val="000000"/>
              </w:rPr>
              <w:t xml:space="preserve">3,4-Dichloromethylphenidate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3,4-Dichlorophenethylamine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3,4-Dimethoxyamphetamine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rPr>
              <w:t>3,4-Dimethoxyphenethylamine</w:t>
            </w:r>
            <w:r w:rsidRPr="004352B1">
              <w:rPr>
                <w:rFonts w:ascii="Arial" w:hAnsi="Arial" w:cs="Arial"/>
                <w:color w:val="000000"/>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rPr>
              <w:t>3,4-methylenedioxy-N, N-dimethylamphetamine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rPr>
              <w:t>3,4-methylenedioxy-meth-amphetamine (MDMA)</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Β 3,4,5-Tetramethoxyphenethylamine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lang w:val="en-US"/>
              </w:rPr>
              <w:t>4-Androstene-3, 17-dione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rPr>
              <w:t>4-bromo-2,5-dimethoxy-</w:t>
            </w:r>
            <w:r w:rsidRPr="004352B1">
              <w:rPr>
                <w:rFonts w:ascii="Arial" w:hAnsi="Arial" w:cs="Arial"/>
                <w:color w:val="000000"/>
                <w:spacing w:val="-3"/>
              </w:rPr>
              <w:sym w:font="Symbol" w:char="F061"/>
            </w:r>
            <w:r w:rsidRPr="004352B1">
              <w:rPr>
                <w:rFonts w:ascii="Arial" w:hAnsi="Arial" w:cs="Arial"/>
                <w:color w:val="000000"/>
                <w:spacing w:val="-3"/>
              </w:rPr>
              <w:t>-methylphenethylamine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lang w:val="en-US"/>
              </w:rPr>
            </w:pPr>
            <w:r w:rsidRPr="004352B1">
              <w:rPr>
                <w:rFonts w:ascii="Arial" w:hAnsi="Arial" w:cs="Arial"/>
                <w:color w:val="000000"/>
                <w:spacing w:val="-3"/>
              </w:rPr>
              <w:t>4-Bromo-2,5-Dimethoxyphenethylamine (2C-B)</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4-Bromo-β,2,5-trimethoxyphenethylamine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4-Bromo-2,5, Dimethoxy-α - methylphenethylamine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4’-Chlorodiazepam</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4-Chloro-2,5-dimethyoxyphenethylamine (2C-C)</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4-chloromethandienone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4-cyano-1-methyl-4-phenylpiperidine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4-cyano-2-dimethylamino-4,4-diphenylbutane</w:t>
            </w:r>
            <w:r w:rsidRPr="004352B1">
              <w:rPr>
                <w:rFonts w:ascii="Arial" w:hAnsi="Arial" w:cs="Arial"/>
                <w:color w:val="000000"/>
                <w:spacing w:val="-3"/>
              </w:rPr>
              <w:tab/>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 xml:space="preserve">4-Fluoroethylphenidate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 xml:space="preserve">4-Fluoromethylphenidate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4-hydroxy-3-methoxyphenethylamine (HMMA)</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4-Iodo-2,5-dimethoxy-α-methylphenethyl(dimethyl)amine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4-methyl-aminorex</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lang w:val="en"/>
              </w:rPr>
              <w:t>4-Methylmethcathinone (mephedrone)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Pr>
                <w:rFonts w:ascii="Arial" w:hAnsi="Arial" w:cs="Arial"/>
                <w:color w:val="000000"/>
                <w:spacing w:val="-3"/>
              </w:rPr>
              <w:t xml:space="preserve">4-Methylmethylphenidate </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4-Methylthioamphetamine (α-Methyl-4- (methylthio)phenethylamine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lang w:val="en"/>
              </w:rPr>
              <w:t>4-Methoxymethcathinone (bk-PMMA/ methedrone)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4-Methyl-5-(4-methylphenyl)-4,5-dihydrooxazol-2-amine (4,4’-DMAR)</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5-(2-Aminopropyl)indole (5-IT)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5-Androstenedione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5α-Androstane-3,17-diol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5-Androstene-3,17-diol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5-Methoxydimethyltryptamine</w:t>
            </w:r>
            <w:r w:rsidRPr="004352B1">
              <w:rPr>
                <w:rFonts w:ascii="Arial" w:hAnsi="Arial" w:cs="Arial"/>
                <w:color w:val="000000"/>
                <w:spacing w:val="-3"/>
              </w:rPr>
              <w:tab/>
              <w:t>(5-MeO-DMT)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(6aR,9R)-4-Acetyl-N,N-diethyl-7-methyl-4,6,6a,7,8,9-hexahydroindolo[4,3-fg]quinolone-9-carboxamide (ALD-52)</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6-(2-Aminopropyl)indole (6-IT)</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B</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(6aR,9R) R,9R) -N,N-diethyl-7-allyl-4,6,6a,7,8,9-hexahydroindolo[4,3-fg]quinolone-9-carboxamide (AL-LAD)</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(6aR,9R) R,9R-N,N-diethyl-7-propyl-4,6,6a,7,8,9-hexahydroindolo[4,3-fg]quinolone-9-carboxamide (PRO-LAD)</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(6aR,9R) R,9R-N,N-diethyl-7-ethyl-4,6,6a,7,8,9-hexahydroindolo[4,3-fg]quinolone-9-carboxamide (ETH-LAD)</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1</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lastRenderedPageBreak/>
              <w:t>6-β-Hydroxytestosterone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14-Hydroxymorphine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A</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19-Norandrostenedione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19-Norandrosterone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19-Noretiocholanolone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19-Nor-5-Androstene-13, 17-diol</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r w:rsidR="00144B9D" w:rsidRPr="004352B1" w:rsidTr="00EB0E1E">
        <w:trPr>
          <w:trHeight w:val="340"/>
        </w:trPr>
        <w:tc>
          <w:tcPr>
            <w:tcW w:w="4673"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rPr>
                <w:rFonts w:ascii="Arial" w:hAnsi="Arial" w:cs="Arial"/>
                <w:color w:val="000000"/>
                <w:spacing w:val="-3"/>
              </w:rPr>
            </w:pPr>
            <w:r w:rsidRPr="004352B1">
              <w:rPr>
                <w:rFonts w:ascii="Arial" w:hAnsi="Arial" w:cs="Arial"/>
                <w:color w:val="000000"/>
                <w:spacing w:val="-3"/>
              </w:rPr>
              <w:t>19-Nor-4-Androstene-3,17-dione</w:t>
            </w:r>
          </w:p>
        </w:tc>
        <w:tc>
          <w:tcPr>
            <w:tcW w:w="2038"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C</w:t>
            </w:r>
          </w:p>
        </w:tc>
        <w:tc>
          <w:tcPr>
            <w:tcW w:w="2305" w:type="dxa"/>
            <w:shd w:val="clear" w:color="auto" w:fill="auto"/>
            <w:vAlign w:val="center"/>
          </w:tcPr>
          <w:p w:rsidR="00144B9D" w:rsidRPr="004352B1" w:rsidRDefault="00144B9D" w:rsidP="00EB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color w:val="000000"/>
                <w:spacing w:val="-3"/>
              </w:rPr>
            </w:pPr>
            <w:r w:rsidRPr="004352B1">
              <w:rPr>
                <w:rFonts w:ascii="Arial" w:hAnsi="Arial" w:cs="Arial"/>
                <w:color w:val="000000"/>
                <w:spacing w:val="-3"/>
              </w:rPr>
              <w:t>4 Pt 2</w:t>
            </w:r>
          </w:p>
        </w:tc>
      </w:tr>
    </w:tbl>
    <w:p w:rsidR="00144B9D" w:rsidRPr="007D7652" w:rsidRDefault="00144B9D" w:rsidP="00144B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Pr>
          <w:rFonts w:ascii="Arial" w:hAnsi="Arial" w:cs="Arial"/>
          <w:color w:val="000000"/>
          <w:spacing w:val="-3"/>
        </w:rPr>
        <w:tab/>
      </w:r>
      <w:r>
        <w:rPr>
          <w:rFonts w:ascii="Arial" w:hAnsi="Arial" w:cs="Arial"/>
          <w:color w:val="000000"/>
          <w:spacing w:val="-3"/>
        </w:rPr>
        <w:tab/>
      </w:r>
      <w:r>
        <w:rPr>
          <w:rFonts w:ascii="Arial" w:hAnsi="Arial" w:cs="Arial"/>
          <w:color w:val="000000"/>
          <w:spacing w:val="-3"/>
        </w:rPr>
        <w:tab/>
      </w:r>
    </w:p>
    <w:p w:rsidR="00144B9D" w:rsidRDefault="00144B9D" w:rsidP="00144B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EE09D7">
        <w:rPr>
          <w:rFonts w:ascii="Arial" w:hAnsi="Arial" w:cs="Arial"/>
          <w:b/>
          <w:color w:val="000000"/>
          <w:spacing w:val="-3"/>
        </w:rPr>
        <w:t>Notes</w:t>
      </w:r>
      <w:r>
        <w:rPr>
          <w:rFonts w:ascii="Arial" w:hAnsi="Arial" w:cs="Arial"/>
          <w:color w:val="000000"/>
          <w:spacing w:val="-3"/>
        </w:rPr>
        <w:t>:</w:t>
      </w:r>
    </w:p>
    <w:p w:rsidR="00144B9D" w:rsidRDefault="00144B9D" w:rsidP="00144B9D">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EE09D7">
        <w:rPr>
          <w:rFonts w:ascii="Arial" w:hAnsi="Arial" w:cs="Arial"/>
          <w:color w:val="000000"/>
          <w:spacing w:val="-3"/>
        </w:rPr>
        <w:t>Falls within para</w:t>
      </w:r>
      <w:r>
        <w:rPr>
          <w:rFonts w:ascii="Arial" w:hAnsi="Arial" w:cs="Arial"/>
          <w:color w:val="000000"/>
          <w:spacing w:val="-3"/>
        </w:rPr>
        <w:t>graph</w:t>
      </w:r>
      <w:r w:rsidRPr="00EE09D7">
        <w:rPr>
          <w:rFonts w:ascii="Arial" w:hAnsi="Arial" w:cs="Arial"/>
          <w:color w:val="000000"/>
          <w:spacing w:val="-3"/>
        </w:rPr>
        <w:t xml:space="preserve"> 6 of Part I of Schedule 2 of the </w:t>
      </w:r>
      <w:smartTag w:uri="urn:schemas-microsoft-com:office:smarttags" w:element="stockticker">
        <w:r w:rsidRPr="00EE09D7">
          <w:rPr>
            <w:rFonts w:ascii="Arial" w:hAnsi="Arial" w:cs="Arial"/>
            <w:color w:val="000000"/>
            <w:spacing w:val="-3"/>
          </w:rPr>
          <w:t>MDA</w:t>
        </w:r>
      </w:smartTag>
      <w:r w:rsidRPr="00EE09D7">
        <w:rPr>
          <w:rFonts w:ascii="Arial" w:hAnsi="Arial" w:cs="Arial"/>
          <w:color w:val="000000"/>
          <w:spacing w:val="-3"/>
        </w:rPr>
        <w:t xml:space="preserve"> 1971 (ie Class A) if in a preparation designed f</w:t>
      </w:r>
      <w:r>
        <w:rPr>
          <w:rFonts w:ascii="Arial" w:hAnsi="Arial" w:cs="Arial"/>
          <w:color w:val="000000"/>
          <w:spacing w:val="-3"/>
        </w:rPr>
        <w:t>or administration by injection.</w:t>
      </w:r>
    </w:p>
    <w:p w:rsidR="00144B9D" w:rsidRDefault="00144B9D" w:rsidP="00144B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left="720"/>
        <w:jc w:val="both"/>
        <w:rPr>
          <w:rFonts w:ascii="Arial" w:hAnsi="Arial" w:cs="Arial"/>
          <w:color w:val="000000"/>
          <w:spacing w:val="-3"/>
        </w:rPr>
      </w:pPr>
    </w:p>
    <w:p w:rsidR="00144B9D" w:rsidRDefault="00144B9D" w:rsidP="00144B9D">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3A4C5B">
        <w:rPr>
          <w:rFonts w:ascii="Arial" w:hAnsi="Arial" w:cs="Arial"/>
          <w:color w:val="000000"/>
          <w:spacing w:val="-3"/>
        </w:rPr>
        <w:t>Falls within Schedule 5 if any preparation of one or more of the substances to which this note applies, not being a preparation designed for administration by injection, when compounded with one or more other active or inert ingredients and containing a total of not more than 100 milligrams of the substance or substances (calculated as base) per dosage unit or with a total concentration of not more than 2.5 percent (calculated as base) in undivided preparations.</w:t>
      </w:r>
    </w:p>
    <w:p w:rsidR="00144B9D" w:rsidRDefault="00144B9D" w:rsidP="00144B9D">
      <w:pPr>
        <w:pStyle w:val="ListParagraph"/>
        <w:spacing w:after="0"/>
        <w:rPr>
          <w:rFonts w:ascii="Arial" w:hAnsi="Arial" w:cs="Arial"/>
          <w:color w:val="000000"/>
          <w:spacing w:val="-3"/>
        </w:rPr>
      </w:pPr>
    </w:p>
    <w:p w:rsidR="00144B9D" w:rsidRDefault="00144B9D" w:rsidP="00144B9D">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3A4C5B">
        <w:rPr>
          <w:rFonts w:ascii="Arial" w:hAnsi="Arial" w:cs="Arial"/>
          <w:color w:val="000000"/>
          <w:spacing w:val="-3"/>
        </w:rPr>
        <w:t>‘Sativex’ is the first cannabis-based medicine (oral spray) recognised in the UK to have medicinal properties. Following marketing authorisation, the ACMD recommended that ‘Sativex’ should be placed in Part 1 of Schedule 4 to the 2001 Regulations.</w:t>
      </w:r>
    </w:p>
    <w:p w:rsidR="00144B9D" w:rsidRDefault="00144B9D" w:rsidP="00144B9D">
      <w:pPr>
        <w:pStyle w:val="ListParagraph"/>
        <w:spacing w:after="0"/>
        <w:rPr>
          <w:rFonts w:ascii="Arial" w:hAnsi="Arial" w:cs="Arial"/>
          <w:color w:val="000000"/>
          <w:spacing w:val="-3"/>
        </w:rPr>
      </w:pPr>
    </w:p>
    <w:p w:rsidR="00144B9D" w:rsidRDefault="00144B9D" w:rsidP="00144B9D">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3A4C5B">
        <w:rPr>
          <w:rFonts w:ascii="Arial" w:hAnsi="Arial" w:cs="Arial"/>
          <w:color w:val="000000"/>
          <w:spacing w:val="-3"/>
        </w:rPr>
        <w:t>Falls within Schedule 5 if in a preparation designed for oral administration, containing not more than 135 mg of dextropropoxyphene (calculated as base) per dosage unit or with a concentration of not more than 2.5 percent (calculated as base) in undivided preparations.</w:t>
      </w:r>
    </w:p>
    <w:p w:rsidR="00144B9D" w:rsidRDefault="00144B9D" w:rsidP="00144B9D">
      <w:pPr>
        <w:pStyle w:val="ListParagraph"/>
        <w:spacing w:after="0"/>
        <w:rPr>
          <w:rFonts w:ascii="Arial" w:hAnsi="Arial" w:cs="Arial"/>
          <w:color w:val="000000"/>
          <w:spacing w:val="-3"/>
        </w:rPr>
      </w:pPr>
    </w:p>
    <w:p w:rsidR="00144B9D" w:rsidRPr="003A4C5B" w:rsidRDefault="00144B9D" w:rsidP="00144B9D">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color w:val="000000"/>
          <w:spacing w:val="-3"/>
        </w:rPr>
      </w:pPr>
      <w:r w:rsidRPr="003A4C5B">
        <w:rPr>
          <w:rFonts w:ascii="Arial" w:hAnsi="Arial" w:cs="Arial"/>
          <w:color w:val="000000"/>
          <w:spacing w:val="-3"/>
        </w:rPr>
        <w:t>Falls within Schedule 5 if in any preparation of difenoxin containing, per dosage unit, not more than 0.5mg of difenoxin and a quantity of atropine sulphate equivalent to at least 5 percent of the dose of difenoxin.</w:t>
      </w:r>
    </w:p>
    <w:p w:rsidR="00144B9D" w:rsidRDefault="00144B9D" w:rsidP="00144B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45"/>
        <w:jc w:val="both"/>
        <w:rPr>
          <w:rFonts w:ascii="Arial" w:hAnsi="Arial" w:cs="Arial"/>
          <w:color w:val="000000"/>
          <w:spacing w:val="-3"/>
        </w:rPr>
      </w:pPr>
    </w:p>
    <w:p w:rsidR="00144B9D" w:rsidRDefault="00144B9D" w:rsidP="003A7B70">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2"/>
        <w:jc w:val="both"/>
        <w:rPr>
          <w:rFonts w:ascii="Arial" w:hAnsi="Arial" w:cs="Arial"/>
          <w:color w:val="000000"/>
        </w:rPr>
      </w:pPr>
      <w:r w:rsidRPr="003A4C5B">
        <w:rPr>
          <w:rFonts w:ascii="Arial" w:hAnsi="Arial" w:cs="Arial"/>
          <w:color w:val="000000"/>
        </w:rPr>
        <w:t>Falls within Schedule 5</w:t>
      </w:r>
      <w:r>
        <w:rPr>
          <w:rFonts w:ascii="Arial" w:hAnsi="Arial" w:cs="Arial"/>
          <w:color w:val="000000"/>
        </w:rPr>
        <w:t xml:space="preserve"> if in any preparation of diphenoxylate containing, per dosage unit, not more than 2.5 mg of diphenoxylate calculated as base, and a quantity of atropine sulphate equivalent to at least 1 percent of the dose of diphenoxylate.</w:t>
      </w:r>
    </w:p>
    <w:p w:rsidR="00144B9D" w:rsidRDefault="00144B9D" w:rsidP="00144B9D">
      <w:pPr>
        <w:pStyle w:val="ListParagraph"/>
        <w:spacing w:after="0"/>
        <w:rPr>
          <w:rFonts w:ascii="Arial" w:hAnsi="Arial" w:cs="Arial"/>
          <w:color w:val="000000"/>
        </w:rPr>
      </w:pPr>
    </w:p>
    <w:p w:rsidR="00144B9D" w:rsidRDefault="00144B9D" w:rsidP="003A7B70">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2"/>
        <w:jc w:val="both"/>
        <w:rPr>
          <w:rFonts w:ascii="Arial" w:hAnsi="Arial" w:cs="Arial"/>
          <w:color w:val="000000"/>
        </w:rPr>
      </w:pPr>
      <w:r w:rsidRPr="003A4C5B">
        <w:rPr>
          <w:rFonts w:ascii="Arial" w:hAnsi="Arial" w:cs="Arial"/>
          <w:color w:val="000000"/>
        </w:rPr>
        <w:t>GBL and 1,4-BD are</w:t>
      </w:r>
      <w:r>
        <w:rPr>
          <w:rFonts w:ascii="Arial" w:hAnsi="Arial" w:cs="Arial"/>
          <w:color w:val="000000"/>
        </w:rPr>
        <w:t xml:space="preserve"> not inserted into any Schedule to the 2001 Regulations. Instead, because of their legitimate industrial uses, regulation 4B of the 2001 Regulations makes it lawful to import, export, produce, supply, offer to supply or possess these substances except where a person does so knowing or believing that they will be used for the purpose of human ingestion.</w:t>
      </w:r>
    </w:p>
    <w:p w:rsidR="00144B9D" w:rsidRDefault="00144B9D" w:rsidP="00144B9D">
      <w:pPr>
        <w:pStyle w:val="ListParagraph"/>
        <w:spacing w:after="0"/>
        <w:rPr>
          <w:rFonts w:ascii="Arial" w:hAnsi="Arial" w:cs="Arial"/>
          <w:color w:val="000000"/>
        </w:rPr>
      </w:pPr>
    </w:p>
    <w:p w:rsidR="00144B9D" w:rsidRDefault="00144B9D" w:rsidP="003A7B70">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2"/>
        <w:jc w:val="both"/>
        <w:rPr>
          <w:rFonts w:ascii="Arial" w:hAnsi="Arial" w:cs="Arial"/>
          <w:color w:val="000000"/>
        </w:rPr>
      </w:pPr>
      <w:r>
        <w:rPr>
          <w:rFonts w:ascii="Arial" w:hAnsi="Arial" w:cs="Arial"/>
          <w:color w:val="000000"/>
        </w:rPr>
        <w:t xml:space="preserve">Falls within Schedule 5 if in a preparation of medicinal opium or morphine containing (In either case) not more than 0.2 percent of morphine calculated as anhydrous morphine base, being a preparation compounded with one or more active or inert ingredients in </w:t>
      </w:r>
      <w:r>
        <w:rPr>
          <w:rFonts w:ascii="Arial" w:hAnsi="Arial" w:cs="Arial"/>
          <w:color w:val="000000"/>
        </w:rPr>
        <w:lastRenderedPageBreak/>
        <w:t>such a way that the opium or, as the case may be, the morphine, cannot be recovered by readily applicable means or in a yield which would constitute a risk to health.</w:t>
      </w:r>
    </w:p>
    <w:p w:rsidR="00144B9D" w:rsidRDefault="00144B9D" w:rsidP="003A7B70">
      <w:pPr>
        <w:pStyle w:val="ListParagraph"/>
        <w:spacing w:after="0"/>
        <w:jc w:val="both"/>
        <w:rPr>
          <w:rFonts w:ascii="Arial" w:hAnsi="Arial" w:cs="Arial"/>
          <w:color w:val="000000"/>
        </w:rPr>
      </w:pPr>
    </w:p>
    <w:p w:rsidR="00144B9D" w:rsidRDefault="00144B9D" w:rsidP="003A7B70">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2"/>
        <w:jc w:val="both"/>
        <w:rPr>
          <w:rFonts w:ascii="Arial" w:hAnsi="Arial" w:cs="Arial"/>
          <w:color w:val="000000"/>
        </w:rPr>
      </w:pPr>
      <w:r>
        <w:rPr>
          <w:rFonts w:ascii="Arial" w:hAnsi="Arial" w:cs="Arial"/>
          <w:color w:val="000000"/>
        </w:rPr>
        <w:t>Falls within Schedule 5 if in any powder of ipecacuanha and opium comprising: 10 percent opium, in powder, 10 percent ipecacuanha root, in powder, well mixed with 80 percent of any other powdered ingredient containing no controlled drug.</w:t>
      </w:r>
    </w:p>
    <w:p w:rsidR="00144B9D" w:rsidRDefault="00144B9D" w:rsidP="003A7B70">
      <w:pPr>
        <w:pStyle w:val="ListParagraph"/>
        <w:spacing w:after="0"/>
        <w:jc w:val="both"/>
        <w:rPr>
          <w:rFonts w:ascii="Arial" w:hAnsi="Arial" w:cs="Arial"/>
          <w:color w:val="000000"/>
        </w:rPr>
      </w:pPr>
    </w:p>
    <w:p w:rsidR="00144B9D" w:rsidRDefault="00144B9D" w:rsidP="003A7B70">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right="-22"/>
        <w:jc w:val="both"/>
      </w:pPr>
      <w:r w:rsidRPr="00144B9D">
        <w:rPr>
          <w:rFonts w:ascii="Arial" w:hAnsi="Arial" w:cs="Arial"/>
          <w:color w:val="000000"/>
        </w:rPr>
        <w:t>Falls within Schedule 5 if in a preparation containing, per dosage unit, not more than 100 mg of propiram calculated as base and compounded with at least the same amount (by weight) of methylcellulose</w:t>
      </w:r>
      <w:r>
        <w:rPr>
          <w:rFonts w:ascii="Arial" w:hAnsi="Arial" w:cs="Arial"/>
          <w:color w:val="000000"/>
        </w:rPr>
        <w:t>.</w:t>
      </w:r>
    </w:p>
    <w:p w:rsidR="00144B9D" w:rsidRPr="00144B9D" w:rsidRDefault="00144B9D" w:rsidP="00144B9D"/>
    <w:p w:rsidR="00144B9D" w:rsidRPr="00144B9D" w:rsidRDefault="00144B9D" w:rsidP="00144B9D"/>
    <w:p w:rsidR="00144B9D" w:rsidRDefault="00144B9D" w:rsidP="00144B9D"/>
    <w:p w:rsidR="00F157A2" w:rsidRPr="00144B9D" w:rsidRDefault="00144B9D" w:rsidP="00144B9D">
      <w:pPr>
        <w:tabs>
          <w:tab w:val="left" w:pos="2895"/>
        </w:tabs>
      </w:pPr>
      <w:r>
        <w:tab/>
      </w:r>
    </w:p>
    <w:sectPr w:rsidR="00F157A2" w:rsidRPr="00144B9D" w:rsidSect="003A7B70">
      <w:headerReference w:type="firs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F2" w:rsidRDefault="008910F2" w:rsidP="00144B9D">
      <w:pPr>
        <w:spacing w:after="0" w:line="240" w:lineRule="auto"/>
      </w:pPr>
      <w:r>
        <w:separator/>
      </w:r>
    </w:p>
  </w:endnote>
  <w:endnote w:type="continuationSeparator" w:id="0">
    <w:p w:rsidR="008910F2" w:rsidRDefault="008910F2" w:rsidP="0014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F2" w:rsidRDefault="008910F2" w:rsidP="00144B9D">
      <w:pPr>
        <w:spacing w:after="0" w:line="240" w:lineRule="auto"/>
      </w:pPr>
      <w:r>
        <w:separator/>
      </w:r>
    </w:p>
  </w:footnote>
  <w:footnote w:type="continuationSeparator" w:id="0">
    <w:p w:rsidR="008910F2" w:rsidRDefault="008910F2" w:rsidP="0014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4D" w:rsidRPr="0060062D" w:rsidRDefault="003A7B70" w:rsidP="0060062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B5E"/>
    <w:multiLevelType w:val="hybridMultilevel"/>
    <w:tmpl w:val="CAFEE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1501ED"/>
    <w:multiLevelType w:val="hybridMultilevel"/>
    <w:tmpl w:val="3A567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A068C1"/>
    <w:multiLevelType w:val="hybridMultilevel"/>
    <w:tmpl w:val="BE684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6C4400"/>
    <w:multiLevelType w:val="hybridMultilevel"/>
    <w:tmpl w:val="69926E2E"/>
    <w:lvl w:ilvl="0" w:tplc="250813A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32410F"/>
    <w:multiLevelType w:val="hybridMultilevel"/>
    <w:tmpl w:val="C1EE6D42"/>
    <w:lvl w:ilvl="0" w:tplc="776A801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7115B"/>
    <w:multiLevelType w:val="hybridMultilevel"/>
    <w:tmpl w:val="E2CA06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D196E90"/>
    <w:multiLevelType w:val="hybridMultilevel"/>
    <w:tmpl w:val="AD9845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62CE42E1"/>
    <w:multiLevelType w:val="multilevel"/>
    <w:tmpl w:val="98903D80"/>
    <w:name w:val="seq1"/>
    <w:lvl w:ilvl="0">
      <w:start w:val="1"/>
      <w:numFmt w:val="lowerRoman"/>
      <w:pStyle w:val="N1"/>
      <w:lvlText w:val="%1."/>
      <w:lvlJc w:val="right"/>
      <w:pPr>
        <w:tabs>
          <w:tab w:val="num" w:pos="190"/>
        </w:tabs>
        <w:ind w:left="-170" w:firstLine="170"/>
      </w:pPr>
      <w:rPr>
        <w:b w:val="0"/>
        <w:i w:val="0"/>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BE55F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F0115E"/>
    <w:multiLevelType w:val="hybridMultilevel"/>
    <w:tmpl w:val="002E6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0"/>
  </w:num>
  <w:num w:numId="6">
    <w:abstractNumId w:val="1"/>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144B9D"/>
    <w:rsid w:val="003A7B70"/>
    <w:rsid w:val="0067534C"/>
    <w:rsid w:val="008910F2"/>
    <w:rsid w:val="00BF300C"/>
    <w:rsid w:val="00CD715F"/>
    <w:rsid w:val="00F1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D4BA73-E392-4996-8C54-69E12298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9D"/>
    <w:pPr>
      <w:spacing w:after="200" w:line="276" w:lineRule="auto"/>
    </w:pPr>
  </w:style>
  <w:style w:type="paragraph" w:styleId="Heading1">
    <w:name w:val="heading 1"/>
    <w:basedOn w:val="Normal"/>
    <w:next w:val="Normal"/>
    <w:link w:val="Heading1Char"/>
    <w:qFormat/>
    <w:rsid w:val="00144B9D"/>
    <w:pPr>
      <w:keepNext/>
      <w:tabs>
        <w:tab w:val="left" w:pos="0"/>
        <w:tab w:val="right" w:pos="10080"/>
      </w:tabs>
      <w:spacing w:after="0" w:line="240" w:lineRule="auto"/>
      <w:ind w:left="720" w:hanging="720"/>
      <w:outlineLvl w:val="0"/>
    </w:pPr>
    <w:rPr>
      <w:rFonts w:ascii="Times New Roman" w:eastAsia="Times New Roman" w:hAnsi="Times New Roman" w:cs="Times New Roman"/>
      <w:b/>
      <w:noProof/>
      <w:sz w:val="24"/>
      <w:szCs w:val="20"/>
      <w:u w:val="single"/>
      <w:lang w:eastAsia="en-GB"/>
    </w:rPr>
  </w:style>
  <w:style w:type="paragraph" w:styleId="Heading2">
    <w:name w:val="heading 2"/>
    <w:basedOn w:val="Normal"/>
    <w:next w:val="Normal"/>
    <w:link w:val="Heading2Char"/>
    <w:qFormat/>
    <w:rsid w:val="00144B9D"/>
    <w:pPr>
      <w:keepNext/>
      <w:tabs>
        <w:tab w:val="left" w:pos="0"/>
        <w:tab w:val="right" w:pos="10080"/>
      </w:tabs>
      <w:spacing w:after="0" w:line="240" w:lineRule="auto"/>
      <w:ind w:left="720" w:hanging="720"/>
      <w:outlineLvl w:val="1"/>
    </w:pPr>
    <w:rPr>
      <w:rFonts w:ascii="Times New Roman" w:eastAsia="Times New Roman" w:hAnsi="Times New Roman" w:cs="Times New Roman"/>
      <w:b/>
      <w:noProof/>
      <w:sz w:val="24"/>
      <w:szCs w:val="20"/>
      <w:lang w:eastAsia="en-GB"/>
    </w:rPr>
  </w:style>
  <w:style w:type="paragraph" w:styleId="Heading4">
    <w:name w:val="heading 4"/>
    <w:basedOn w:val="Normal"/>
    <w:next w:val="Normal"/>
    <w:link w:val="Heading4Char"/>
    <w:uiPriority w:val="9"/>
    <w:semiHidden/>
    <w:unhideWhenUsed/>
    <w:qFormat/>
    <w:rsid w:val="00144B9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B9D"/>
    <w:rPr>
      <w:rFonts w:ascii="Times New Roman" w:eastAsia="Times New Roman" w:hAnsi="Times New Roman" w:cs="Times New Roman"/>
      <w:b/>
      <w:noProof/>
      <w:sz w:val="24"/>
      <w:szCs w:val="20"/>
      <w:u w:val="single"/>
      <w:lang w:eastAsia="en-GB"/>
    </w:rPr>
  </w:style>
  <w:style w:type="character" w:customStyle="1" w:styleId="Heading2Char">
    <w:name w:val="Heading 2 Char"/>
    <w:basedOn w:val="DefaultParagraphFont"/>
    <w:link w:val="Heading2"/>
    <w:rsid w:val="00144B9D"/>
    <w:rPr>
      <w:rFonts w:ascii="Times New Roman" w:eastAsia="Times New Roman" w:hAnsi="Times New Roman" w:cs="Times New Roman"/>
      <w:b/>
      <w:noProof/>
      <w:sz w:val="24"/>
      <w:szCs w:val="20"/>
      <w:lang w:eastAsia="en-GB"/>
    </w:rPr>
  </w:style>
  <w:style w:type="character" w:customStyle="1" w:styleId="Heading4Char">
    <w:name w:val="Heading 4 Char"/>
    <w:basedOn w:val="DefaultParagraphFont"/>
    <w:link w:val="Heading4"/>
    <w:uiPriority w:val="9"/>
    <w:semiHidden/>
    <w:rsid w:val="00144B9D"/>
    <w:rPr>
      <w:rFonts w:ascii="Cambria" w:eastAsia="Times New Roman" w:hAnsi="Cambria" w:cs="Times New Roman"/>
      <w:b/>
      <w:bCs/>
      <w:i/>
      <w:iCs/>
      <w:color w:val="4F81BD"/>
    </w:rPr>
  </w:style>
  <w:style w:type="paragraph" w:styleId="NoSpacing">
    <w:name w:val="No Spacing"/>
    <w:uiPriority w:val="1"/>
    <w:qFormat/>
    <w:rsid w:val="00144B9D"/>
    <w:pPr>
      <w:spacing w:after="0" w:line="240" w:lineRule="auto"/>
    </w:pPr>
  </w:style>
  <w:style w:type="paragraph" w:styleId="BodyTextIndent">
    <w:name w:val="Body Text Indent"/>
    <w:basedOn w:val="Normal"/>
    <w:link w:val="BodyTextIndentChar"/>
    <w:rsid w:val="00144B9D"/>
    <w:pPr>
      <w:tabs>
        <w:tab w:val="left" w:pos="0"/>
        <w:tab w:val="right" w:pos="10080"/>
      </w:tabs>
      <w:spacing w:after="0" w:line="240" w:lineRule="auto"/>
      <w:ind w:left="720" w:hanging="720"/>
      <w:jc w:val="right"/>
    </w:pPr>
    <w:rPr>
      <w:rFonts w:ascii="Times New Roman" w:eastAsia="Times New Roman" w:hAnsi="Times New Roman" w:cs="Times New Roman"/>
      <w:noProof/>
      <w:sz w:val="28"/>
      <w:szCs w:val="20"/>
      <w:lang w:eastAsia="en-GB"/>
    </w:rPr>
  </w:style>
  <w:style w:type="character" w:customStyle="1" w:styleId="BodyTextIndentChar">
    <w:name w:val="Body Text Indent Char"/>
    <w:basedOn w:val="DefaultParagraphFont"/>
    <w:link w:val="BodyTextIndent"/>
    <w:rsid w:val="00144B9D"/>
    <w:rPr>
      <w:rFonts w:ascii="Times New Roman" w:eastAsia="Times New Roman" w:hAnsi="Times New Roman" w:cs="Times New Roman"/>
      <w:noProof/>
      <w:sz w:val="28"/>
      <w:szCs w:val="20"/>
      <w:lang w:eastAsia="en-GB"/>
    </w:rPr>
  </w:style>
  <w:style w:type="paragraph" w:styleId="ListParagraph">
    <w:name w:val="List Paragraph"/>
    <w:basedOn w:val="Normal"/>
    <w:uiPriority w:val="34"/>
    <w:qFormat/>
    <w:rsid w:val="00144B9D"/>
    <w:pPr>
      <w:ind w:left="720"/>
      <w:contextualSpacing/>
    </w:pPr>
  </w:style>
  <w:style w:type="paragraph" w:styleId="Header">
    <w:name w:val="header"/>
    <w:basedOn w:val="Normal"/>
    <w:link w:val="HeaderChar"/>
    <w:unhideWhenUsed/>
    <w:rsid w:val="00144B9D"/>
    <w:pPr>
      <w:tabs>
        <w:tab w:val="center" w:pos="4513"/>
        <w:tab w:val="right" w:pos="9026"/>
      </w:tabs>
      <w:spacing w:after="0" w:line="240" w:lineRule="auto"/>
    </w:pPr>
  </w:style>
  <w:style w:type="character" w:customStyle="1" w:styleId="HeaderChar">
    <w:name w:val="Header Char"/>
    <w:basedOn w:val="DefaultParagraphFont"/>
    <w:link w:val="Header"/>
    <w:rsid w:val="00144B9D"/>
  </w:style>
  <w:style w:type="paragraph" w:styleId="Footer">
    <w:name w:val="footer"/>
    <w:basedOn w:val="Normal"/>
    <w:link w:val="FooterChar"/>
    <w:uiPriority w:val="99"/>
    <w:unhideWhenUsed/>
    <w:rsid w:val="0014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B9D"/>
  </w:style>
  <w:style w:type="paragraph" w:styleId="BalloonText">
    <w:name w:val="Balloon Text"/>
    <w:basedOn w:val="Normal"/>
    <w:link w:val="BalloonTextChar"/>
    <w:uiPriority w:val="99"/>
    <w:semiHidden/>
    <w:unhideWhenUsed/>
    <w:rsid w:val="0014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9D"/>
    <w:rPr>
      <w:rFonts w:ascii="Tahoma" w:hAnsi="Tahoma" w:cs="Tahoma"/>
      <w:sz w:val="16"/>
      <w:szCs w:val="16"/>
    </w:rPr>
  </w:style>
  <w:style w:type="character" w:styleId="Hyperlink">
    <w:name w:val="Hyperlink"/>
    <w:basedOn w:val="DefaultParagraphFont"/>
    <w:uiPriority w:val="99"/>
    <w:unhideWhenUsed/>
    <w:rsid w:val="00144B9D"/>
    <w:rPr>
      <w:color w:val="0563C1" w:themeColor="hyperlink"/>
      <w:u w:val="single"/>
    </w:rPr>
  </w:style>
  <w:style w:type="table" w:styleId="TableGrid">
    <w:name w:val="Table Grid"/>
    <w:basedOn w:val="TableNormal"/>
    <w:uiPriority w:val="59"/>
    <w:rsid w:val="0014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144B9D"/>
    <w:pPr>
      <w:spacing w:after="0" w:line="240" w:lineRule="auto"/>
    </w:pPr>
    <w:rPr>
      <w:rFonts w:ascii="Arial" w:hAnsi="Arial" w:cs="Aria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OC1">
    <w:name w:val="toc 1"/>
    <w:basedOn w:val="Normal"/>
    <w:next w:val="Normal"/>
    <w:autoRedefine/>
    <w:uiPriority w:val="39"/>
    <w:unhideWhenUsed/>
    <w:rsid w:val="00144B9D"/>
    <w:pPr>
      <w:spacing w:after="100"/>
    </w:pPr>
  </w:style>
  <w:style w:type="paragraph" w:styleId="BodyText">
    <w:name w:val="Body Text"/>
    <w:basedOn w:val="Normal"/>
    <w:link w:val="BodyTextChar"/>
    <w:uiPriority w:val="99"/>
    <w:unhideWhenUsed/>
    <w:rsid w:val="00144B9D"/>
    <w:pPr>
      <w:spacing w:after="120"/>
    </w:pPr>
  </w:style>
  <w:style w:type="character" w:customStyle="1" w:styleId="BodyTextChar">
    <w:name w:val="Body Text Char"/>
    <w:basedOn w:val="DefaultParagraphFont"/>
    <w:link w:val="BodyText"/>
    <w:uiPriority w:val="99"/>
    <w:rsid w:val="00144B9D"/>
  </w:style>
  <w:style w:type="paragraph" w:styleId="BodyText2">
    <w:name w:val="Body Text 2"/>
    <w:basedOn w:val="Normal"/>
    <w:link w:val="BodyText2Char"/>
    <w:rsid w:val="00144B9D"/>
    <w:pPr>
      <w:spacing w:after="120" w:line="480" w:lineRule="auto"/>
      <w:ind w:left="567"/>
      <w:jc w:val="both"/>
    </w:pPr>
    <w:rPr>
      <w:rFonts w:ascii="Arial" w:eastAsia="Times New Roman" w:hAnsi="Arial" w:cs="Times New Roman"/>
      <w:lang w:val="en-US"/>
    </w:rPr>
  </w:style>
  <w:style w:type="character" w:customStyle="1" w:styleId="BodyText2Char">
    <w:name w:val="Body Text 2 Char"/>
    <w:basedOn w:val="DefaultParagraphFont"/>
    <w:link w:val="BodyText2"/>
    <w:rsid w:val="00144B9D"/>
    <w:rPr>
      <w:rFonts w:ascii="Arial" w:eastAsia="Times New Roman" w:hAnsi="Arial" w:cs="Times New Roman"/>
      <w:lang w:val="en-US"/>
    </w:rPr>
  </w:style>
  <w:style w:type="paragraph" w:customStyle="1" w:styleId="Default">
    <w:name w:val="Default"/>
    <w:rsid w:val="00144B9D"/>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List1Cont">
    <w:name w:val="List1 Cont"/>
    <w:basedOn w:val="Normal"/>
    <w:rsid w:val="00144B9D"/>
    <w:pPr>
      <w:spacing w:before="80" w:after="0" w:line="220" w:lineRule="atLeast"/>
      <w:ind w:left="737"/>
      <w:jc w:val="both"/>
    </w:pPr>
    <w:rPr>
      <w:rFonts w:ascii="Times New Roman" w:eastAsia="Times New Roman" w:hAnsi="Times New Roman" w:cs="Times New Roman"/>
      <w:sz w:val="21"/>
      <w:szCs w:val="20"/>
    </w:rPr>
  </w:style>
  <w:style w:type="paragraph" w:customStyle="1" w:styleId="T3">
    <w:name w:val="T3"/>
    <w:basedOn w:val="Normal"/>
    <w:rsid w:val="00144B9D"/>
    <w:pPr>
      <w:spacing w:before="80" w:after="0" w:line="220" w:lineRule="atLeast"/>
      <w:ind w:left="737"/>
      <w:jc w:val="both"/>
    </w:pPr>
    <w:rPr>
      <w:rFonts w:ascii="Times New Roman" w:eastAsia="Times New Roman" w:hAnsi="Times New Roman" w:cs="Times New Roman"/>
      <w:sz w:val="21"/>
      <w:szCs w:val="20"/>
    </w:rPr>
  </w:style>
  <w:style w:type="paragraph" w:customStyle="1" w:styleId="N1">
    <w:name w:val="N1"/>
    <w:basedOn w:val="Normal"/>
    <w:link w:val="N1Char"/>
    <w:rsid w:val="00144B9D"/>
    <w:pPr>
      <w:numPr>
        <w:numId w:val="4"/>
      </w:numPr>
      <w:spacing w:before="160" w:after="0" w:line="220" w:lineRule="atLeast"/>
      <w:jc w:val="both"/>
    </w:pPr>
    <w:rPr>
      <w:rFonts w:ascii="Times New Roman" w:eastAsia="Times New Roman" w:hAnsi="Times New Roman" w:cs="Times New Roman"/>
      <w:sz w:val="21"/>
      <w:szCs w:val="20"/>
    </w:rPr>
  </w:style>
  <w:style w:type="character" w:customStyle="1" w:styleId="N1Char">
    <w:name w:val="N1 Char"/>
    <w:link w:val="N1"/>
    <w:rsid w:val="00144B9D"/>
    <w:rPr>
      <w:rFonts w:ascii="Times New Roman" w:eastAsia="Times New Roman" w:hAnsi="Times New Roman" w:cs="Times New Roman"/>
      <w:sz w:val="21"/>
      <w:szCs w:val="20"/>
    </w:rPr>
  </w:style>
  <w:style w:type="paragraph" w:customStyle="1" w:styleId="N2">
    <w:name w:val="N2"/>
    <w:basedOn w:val="N1"/>
    <w:rsid w:val="00144B9D"/>
    <w:pPr>
      <w:numPr>
        <w:ilvl w:val="1"/>
      </w:numPr>
      <w:tabs>
        <w:tab w:val="clear" w:pos="720"/>
        <w:tab w:val="num" w:pos="360"/>
      </w:tabs>
      <w:spacing w:before="80"/>
      <w:ind w:left="1440" w:hanging="360"/>
    </w:pPr>
  </w:style>
  <w:style w:type="paragraph" w:customStyle="1" w:styleId="N3">
    <w:name w:val="N3"/>
    <w:basedOn w:val="N2"/>
    <w:rsid w:val="00144B9D"/>
    <w:pPr>
      <w:numPr>
        <w:ilvl w:val="2"/>
      </w:numPr>
      <w:tabs>
        <w:tab w:val="clear" w:pos="737"/>
        <w:tab w:val="num" w:pos="360"/>
      </w:tabs>
      <w:ind w:left="2160" w:hanging="360"/>
    </w:pPr>
  </w:style>
  <w:style w:type="paragraph" w:customStyle="1" w:styleId="N4">
    <w:name w:val="N4"/>
    <w:basedOn w:val="N3"/>
    <w:rsid w:val="00144B9D"/>
    <w:pPr>
      <w:numPr>
        <w:ilvl w:val="3"/>
      </w:numPr>
      <w:tabs>
        <w:tab w:val="clear" w:pos="1134"/>
        <w:tab w:val="num" w:pos="360"/>
      </w:tabs>
      <w:ind w:left="2880" w:hanging="360"/>
    </w:pPr>
  </w:style>
  <w:style w:type="paragraph" w:customStyle="1" w:styleId="N5">
    <w:name w:val="N5"/>
    <w:basedOn w:val="N4"/>
    <w:rsid w:val="00144B9D"/>
    <w:pPr>
      <w:numPr>
        <w:ilvl w:val="4"/>
      </w:numPr>
      <w:tabs>
        <w:tab w:val="clear" w:pos="1701"/>
        <w:tab w:val="num" w:pos="360"/>
      </w:tabs>
      <w:ind w:left="3600" w:hanging="360"/>
    </w:pPr>
  </w:style>
  <w:style w:type="character" w:styleId="FollowedHyperlink">
    <w:name w:val="FollowedHyperlink"/>
    <w:basedOn w:val="DefaultParagraphFont"/>
    <w:uiPriority w:val="99"/>
    <w:semiHidden/>
    <w:unhideWhenUsed/>
    <w:rsid w:val="00144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1/3998/schedule/1/made" TargetMode="External"/><Relationship Id="rId3" Type="http://schemas.openxmlformats.org/officeDocument/2006/relationships/settings" Target="settings.xml"/><Relationship Id="rId7" Type="http://schemas.openxmlformats.org/officeDocument/2006/relationships/hyperlink" Target="http://www.legislation.gov.uk/ukpga/1971/38/schedul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Smith</dc:creator>
  <cp:keywords/>
  <dc:description/>
  <cp:lastModifiedBy>Catherine O'Neill</cp:lastModifiedBy>
  <cp:revision>5</cp:revision>
  <dcterms:created xsi:type="dcterms:W3CDTF">2020-08-24T14:21:00Z</dcterms:created>
  <dcterms:modified xsi:type="dcterms:W3CDTF">2020-08-24T14:25:00Z</dcterms:modified>
</cp:coreProperties>
</file>