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03C8" w:rsidRPr="00102C4D" w:rsidRDefault="008803C8" w:rsidP="008803C8">
      <w:pPr>
        <w:pStyle w:val="ListParagraph"/>
        <w:spacing w:after="0" w:line="240" w:lineRule="auto"/>
        <w:rPr>
          <w:rFonts w:ascii="Arial" w:hAnsi="Arial" w:cs="Arial"/>
        </w:rPr>
      </w:pPr>
      <w:bookmarkStart w:id="0" w:name="_GoBack"/>
      <w:bookmarkEnd w:id="0"/>
      <w:r w:rsidRPr="00102C4D">
        <w:rPr>
          <w:rFonts w:ascii="Arial" w:hAnsi="Arial" w:cs="Arial"/>
        </w:rPr>
        <w:t>CRITERIA AND ELIGIBILITY FOR PROMOTION</w:t>
      </w:r>
    </w:p>
    <w:p w:rsidR="008803C8" w:rsidRPr="00C93BBB" w:rsidRDefault="008803C8" w:rsidP="008803C8">
      <w:pPr>
        <w:spacing w:after="0" w:line="240" w:lineRule="auto"/>
        <w:rPr>
          <w:rFonts w:ascii="Arial" w:hAnsi="Arial" w:cs="Arial"/>
        </w:rPr>
      </w:pPr>
    </w:p>
    <w:p w:rsidR="008803C8" w:rsidRPr="008803C8" w:rsidRDefault="008803C8" w:rsidP="008803C8">
      <w:pPr>
        <w:spacing w:after="0" w:line="240" w:lineRule="auto"/>
        <w:ind w:firstLine="720"/>
        <w:rPr>
          <w:rFonts w:ascii="Arial" w:hAnsi="Arial" w:cs="Arial"/>
        </w:rPr>
      </w:pPr>
      <w:r w:rsidRPr="008803C8">
        <w:rPr>
          <w:rFonts w:ascii="Arial" w:hAnsi="Arial" w:cs="Arial"/>
          <w:b/>
          <w:u w:val="single"/>
        </w:rPr>
        <w:t>Criteria</w:t>
      </w:r>
    </w:p>
    <w:p w:rsidR="008803C8" w:rsidRDefault="008803C8" w:rsidP="008803C8">
      <w:pPr>
        <w:pStyle w:val="ListParagraph"/>
        <w:spacing w:after="0" w:line="240" w:lineRule="auto"/>
        <w:rPr>
          <w:rFonts w:ascii="Arial" w:hAnsi="Arial" w:cs="Arial"/>
        </w:rPr>
      </w:pPr>
    </w:p>
    <w:p w:rsidR="008803C8" w:rsidRDefault="008803C8" w:rsidP="008803C8">
      <w:pPr>
        <w:pStyle w:val="ListParagraph"/>
        <w:spacing w:after="0" w:line="240" w:lineRule="auto"/>
        <w:jc w:val="both"/>
        <w:rPr>
          <w:rFonts w:ascii="Arial" w:hAnsi="Arial" w:cs="Arial"/>
        </w:rPr>
      </w:pPr>
      <w:r w:rsidRPr="00930ABC">
        <w:rPr>
          <w:rFonts w:ascii="Arial" w:hAnsi="Arial" w:cs="Arial"/>
        </w:rPr>
        <w:t>Promotion requires the demonstration of successful performance at a higher level.</w:t>
      </w:r>
      <w:r>
        <w:rPr>
          <w:rFonts w:ascii="Arial" w:hAnsi="Arial" w:cs="Arial"/>
        </w:rPr>
        <w:t xml:space="preserve"> A</w:t>
      </w:r>
      <w:r w:rsidRPr="005F2632">
        <w:rPr>
          <w:rFonts w:ascii="Arial" w:hAnsi="Arial" w:cs="Arial"/>
        </w:rPr>
        <w:t>pplicants must show clearly and unambiguously</w:t>
      </w:r>
      <w:r>
        <w:rPr>
          <w:rFonts w:ascii="Arial" w:hAnsi="Arial" w:cs="Arial"/>
        </w:rPr>
        <w:t xml:space="preserve"> how they match the appropriate profile in:</w:t>
      </w:r>
    </w:p>
    <w:p w:rsidR="008803C8" w:rsidRDefault="008803C8" w:rsidP="008803C8">
      <w:pPr>
        <w:spacing w:after="0" w:line="240" w:lineRule="auto"/>
        <w:jc w:val="both"/>
        <w:rPr>
          <w:rFonts w:ascii="Arial" w:hAnsi="Arial" w:cs="Arial"/>
        </w:rPr>
      </w:pPr>
    </w:p>
    <w:p w:rsidR="008803C8" w:rsidRPr="00737C8F" w:rsidRDefault="008803C8" w:rsidP="008803C8">
      <w:pPr>
        <w:pStyle w:val="BodyTextIndent3"/>
        <w:numPr>
          <w:ilvl w:val="0"/>
          <w:numId w:val="2"/>
        </w:numPr>
        <w:tabs>
          <w:tab w:val="clear" w:pos="1800"/>
          <w:tab w:val="num" w:pos="1134"/>
        </w:tabs>
        <w:spacing w:line="240" w:lineRule="auto"/>
        <w:ind w:hanging="1091"/>
        <w:jc w:val="both"/>
        <w:rPr>
          <w:rFonts w:ascii="Arial" w:hAnsi="Arial" w:cs="Arial"/>
          <w:sz w:val="22"/>
          <w:szCs w:val="22"/>
        </w:rPr>
      </w:pPr>
      <w:r w:rsidRPr="00737C8F">
        <w:rPr>
          <w:rFonts w:ascii="Arial" w:hAnsi="Arial" w:cs="Arial"/>
          <w:sz w:val="22"/>
          <w:szCs w:val="22"/>
        </w:rPr>
        <w:t>Professional Skills (SFIA competency level)</w:t>
      </w:r>
    </w:p>
    <w:p w:rsidR="008803C8" w:rsidRPr="00737C8F" w:rsidRDefault="008803C8" w:rsidP="008803C8">
      <w:pPr>
        <w:pStyle w:val="BodyTextIndent3"/>
        <w:numPr>
          <w:ilvl w:val="0"/>
          <w:numId w:val="2"/>
        </w:numPr>
        <w:tabs>
          <w:tab w:val="clear" w:pos="1800"/>
          <w:tab w:val="num" w:pos="1134"/>
        </w:tabs>
        <w:spacing w:line="240" w:lineRule="auto"/>
        <w:ind w:hanging="1091"/>
        <w:jc w:val="both"/>
        <w:rPr>
          <w:rFonts w:ascii="Arial" w:hAnsi="Arial" w:cs="Arial"/>
          <w:sz w:val="22"/>
          <w:szCs w:val="22"/>
        </w:rPr>
      </w:pPr>
      <w:r w:rsidRPr="00737C8F">
        <w:rPr>
          <w:rFonts w:ascii="Arial" w:hAnsi="Arial" w:cs="Arial"/>
          <w:sz w:val="22"/>
          <w:szCs w:val="22"/>
        </w:rPr>
        <w:t>Research and Development (achievements, outputs and funding)</w:t>
      </w:r>
    </w:p>
    <w:p w:rsidR="008803C8" w:rsidRPr="00737C8F" w:rsidRDefault="008803C8" w:rsidP="008803C8">
      <w:pPr>
        <w:pStyle w:val="BodyTextIndent3"/>
        <w:numPr>
          <w:ilvl w:val="0"/>
          <w:numId w:val="2"/>
        </w:numPr>
        <w:tabs>
          <w:tab w:val="clear" w:pos="1800"/>
          <w:tab w:val="num" w:pos="1134"/>
        </w:tabs>
        <w:spacing w:line="240" w:lineRule="auto"/>
        <w:ind w:left="1134" w:hanging="425"/>
        <w:jc w:val="both"/>
        <w:rPr>
          <w:rFonts w:ascii="Arial" w:hAnsi="Arial" w:cs="Arial"/>
          <w:sz w:val="22"/>
          <w:szCs w:val="22"/>
        </w:rPr>
      </w:pPr>
      <w:r w:rsidRPr="00737C8F">
        <w:rPr>
          <w:rFonts w:ascii="Arial" w:hAnsi="Arial" w:cs="Arial"/>
          <w:sz w:val="22"/>
          <w:szCs w:val="22"/>
        </w:rPr>
        <w:t>Collaboration Levels (internal University collaboration and/or external collaboration)</w:t>
      </w:r>
    </w:p>
    <w:p w:rsidR="008803C8" w:rsidRPr="00737C8F" w:rsidRDefault="008803C8" w:rsidP="008803C8">
      <w:pPr>
        <w:pStyle w:val="BodyTextIndent3"/>
        <w:numPr>
          <w:ilvl w:val="0"/>
          <w:numId w:val="2"/>
        </w:numPr>
        <w:tabs>
          <w:tab w:val="clear" w:pos="1800"/>
          <w:tab w:val="num" w:pos="1134"/>
        </w:tabs>
        <w:spacing w:line="240" w:lineRule="auto"/>
        <w:ind w:left="1134" w:hanging="425"/>
        <w:jc w:val="both"/>
        <w:rPr>
          <w:rFonts w:ascii="Arial" w:hAnsi="Arial" w:cs="Arial"/>
          <w:sz w:val="22"/>
          <w:szCs w:val="22"/>
        </w:rPr>
      </w:pPr>
      <w:r w:rsidRPr="00737C8F">
        <w:rPr>
          <w:rFonts w:ascii="Arial" w:hAnsi="Arial" w:cs="Arial"/>
          <w:sz w:val="22"/>
          <w:szCs w:val="22"/>
        </w:rPr>
        <w:t>Societal and Economic Impact</w:t>
      </w:r>
    </w:p>
    <w:p w:rsidR="008803C8" w:rsidRPr="00737C8F" w:rsidRDefault="008803C8" w:rsidP="008803C8">
      <w:pPr>
        <w:pStyle w:val="BodyTextIndent3"/>
        <w:numPr>
          <w:ilvl w:val="0"/>
          <w:numId w:val="2"/>
        </w:numPr>
        <w:tabs>
          <w:tab w:val="clear" w:pos="1800"/>
          <w:tab w:val="num" w:pos="1134"/>
        </w:tabs>
        <w:spacing w:line="240" w:lineRule="auto"/>
        <w:ind w:left="1134" w:hanging="425"/>
        <w:jc w:val="both"/>
        <w:rPr>
          <w:rFonts w:ascii="Arial" w:hAnsi="Arial" w:cs="Arial"/>
          <w:sz w:val="22"/>
          <w:szCs w:val="22"/>
        </w:rPr>
      </w:pPr>
      <w:r w:rsidRPr="00737C8F">
        <w:rPr>
          <w:rFonts w:ascii="Arial" w:hAnsi="Arial" w:cs="Arial"/>
          <w:sz w:val="22"/>
          <w:szCs w:val="22"/>
        </w:rPr>
        <w:t>Professional Development</w:t>
      </w:r>
    </w:p>
    <w:p w:rsidR="008803C8" w:rsidRPr="00336EFD" w:rsidRDefault="008803C8" w:rsidP="008803C8">
      <w:pPr>
        <w:spacing w:after="0" w:line="240" w:lineRule="auto"/>
        <w:jc w:val="both"/>
        <w:rPr>
          <w:rFonts w:ascii="Arial" w:hAnsi="Arial" w:cs="Arial"/>
        </w:rPr>
      </w:pPr>
    </w:p>
    <w:p w:rsidR="008803C8" w:rsidRDefault="008803C8" w:rsidP="008803C8">
      <w:pPr>
        <w:spacing w:after="0" w:line="240" w:lineRule="auto"/>
        <w:ind w:left="709"/>
        <w:jc w:val="both"/>
        <w:rPr>
          <w:rFonts w:ascii="Arial" w:hAnsi="Arial" w:cs="Arial"/>
        </w:rPr>
      </w:pPr>
      <w:r w:rsidRPr="00336EFD">
        <w:rPr>
          <w:rFonts w:ascii="Arial" w:hAnsi="Arial" w:cs="Arial"/>
        </w:rPr>
        <w:t>The types of evidence listed in the profiles are exemplars of activities in which applicants may be involved.  They are not a checklist nor are they exhaustive; applicants may present other types of evidence to show how they meet the criteria.</w:t>
      </w:r>
    </w:p>
    <w:p w:rsidR="008803C8" w:rsidRDefault="008803C8" w:rsidP="008803C8">
      <w:pPr>
        <w:spacing w:after="0" w:line="240" w:lineRule="auto"/>
        <w:ind w:left="709"/>
        <w:jc w:val="both"/>
        <w:rPr>
          <w:rFonts w:ascii="Arial" w:hAnsi="Arial" w:cs="Arial"/>
        </w:rPr>
      </w:pPr>
    </w:p>
    <w:p w:rsidR="008803C8" w:rsidRPr="00E51520" w:rsidRDefault="008803C8" w:rsidP="008803C8">
      <w:pPr>
        <w:spacing w:after="0" w:line="240" w:lineRule="auto"/>
        <w:ind w:left="709"/>
        <w:jc w:val="both"/>
        <w:rPr>
          <w:rFonts w:ascii="Arial" w:hAnsi="Arial" w:cs="Arial"/>
        </w:rPr>
      </w:pPr>
      <w:r w:rsidRPr="005000A1">
        <w:rPr>
          <w:rFonts w:ascii="Arial" w:hAnsi="Arial" w:cs="Arial"/>
        </w:rPr>
        <w:t>Anyone considering applying for Promotion should ensure they receive clear advice and support from the ECIT Director on which areas, if any, in which they need to demonstrate greater levels of competence</w:t>
      </w:r>
      <w:r w:rsidRPr="00987673">
        <w:rPr>
          <w:rFonts w:ascii="Arial" w:hAnsi="Arial" w:cs="Arial"/>
        </w:rPr>
        <w:t>, in order to be seen as ready for promotion. A written record should be made by the ECIT Director and followed up through normal University processes such as appraisal.</w:t>
      </w:r>
    </w:p>
    <w:p w:rsidR="008803C8" w:rsidRDefault="008803C8" w:rsidP="008803C8">
      <w:pPr>
        <w:spacing w:after="0" w:line="240" w:lineRule="auto"/>
        <w:ind w:left="709"/>
        <w:jc w:val="both"/>
        <w:rPr>
          <w:rFonts w:ascii="Arial" w:hAnsi="Arial" w:cs="Arial"/>
        </w:rPr>
      </w:pPr>
    </w:p>
    <w:p w:rsidR="008803C8" w:rsidRDefault="008803C8" w:rsidP="008803C8">
      <w:pPr>
        <w:spacing w:after="0" w:line="240" w:lineRule="auto"/>
        <w:ind w:left="709"/>
        <w:jc w:val="both"/>
        <w:rPr>
          <w:rFonts w:ascii="Arial" w:hAnsi="Arial" w:cs="Arial"/>
        </w:rPr>
      </w:pPr>
    </w:p>
    <w:p w:rsidR="008803C8" w:rsidRDefault="008803C8" w:rsidP="008803C8">
      <w:pPr>
        <w:spacing w:after="0" w:line="240" w:lineRule="auto"/>
        <w:ind w:left="708"/>
        <w:jc w:val="both"/>
        <w:rPr>
          <w:rFonts w:ascii="Arial" w:hAnsi="Arial" w:cs="Arial"/>
        </w:rPr>
      </w:pPr>
      <w:r>
        <w:rPr>
          <w:rFonts w:ascii="Arial" w:hAnsi="Arial" w:cs="Arial"/>
        </w:rPr>
        <w:t>Unfortunately, we can only consider work</w:t>
      </w:r>
      <w:r w:rsidRPr="00F17C5C">
        <w:rPr>
          <w:rFonts w:ascii="Arial" w:hAnsi="Arial" w:cs="Arial"/>
        </w:rPr>
        <w:t xml:space="preserve"> relation to applicants’ performance up to the closing date.</w:t>
      </w:r>
    </w:p>
    <w:p w:rsidR="008803C8" w:rsidRDefault="008803C8" w:rsidP="008803C8">
      <w:pPr>
        <w:spacing w:after="0" w:line="240" w:lineRule="auto"/>
        <w:jc w:val="both"/>
        <w:rPr>
          <w:rFonts w:ascii="Arial" w:hAnsi="Arial" w:cs="Arial"/>
          <w:b/>
          <w:u w:val="single"/>
        </w:rPr>
      </w:pPr>
    </w:p>
    <w:p w:rsidR="008803C8" w:rsidRPr="00540515" w:rsidRDefault="008803C8" w:rsidP="008803C8">
      <w:pPr>
        <w:spacing w:after="0" w:line="240" w:lineRule="auto"/>
        <w:ind w:left="708"/>
        <w:jc w:val="both"/>
        <w:rPr>
          <w:rFonts w:ascii="Arial" w:hAnsi="Arial" w:cs="Arial"/>
          <w:b/>
          <w:u w:val="single"/>
        </w:rPr>
      </w:pPr>
      <w:r w:rsidRPr="00540515">
        <w:rPr>
          <w:rFonts w:ascii="Arial" w:hAnsi="Arial" w:cs="Arial"/>
          <w:b/>
          <w:u w:val="single"/>
        </w:rPr>
        <w:t>Eligibility</w:t>
      </w:r>
    </w:p>
    <w:p w:rsidR="008803C8" w:rsidRPr="00BA7459" w:rsidRDefault="008803C8" w:rsidP="008803C8">
      <w:pPr>
        <w:spacing w:after="0" w:line="240" w:lineRule="auto"/>
        <w:ind w:left="708" w:hanging="708"/>
        <w:jc w:val="both"/>
        <w:rPr>
          <w:rFonts w:cs="Arial"/>
        </w:rPr>
      </w:pPr>
    </w:p>
    <w:p w:rsidR="008803C8" w:rsidRDefault="008803C8" w:rsidP="008803C8">
      <w:pPr>
        <w:spacing w:after="0" w:line="240" w:lineRule="auto"/>
        <w:rPr>
          <w:rFonts w:ascii="Arial" w:hAnsi="Arial" w:cs="Arial"/>
        </w:rPr>
      </w:pPr>
      <w:r w:rsidRPr="00540515">
        <w:rPr>
          <w:rFonts w:cs="Arial"/>
          <w:noProof/>
          <w:lang w:eastAsia="en-GB"/>
        </w:rPr>
        <w:drawing>
          <wp:inline distT="0" distB="0" distL="0" distR="0" wp14:anchorId="40677FBB" wp14:editId="5D9BF19D">
            <wp:extent cx="5743575" cy="1543050"/>
            <wp:effectExtent l="0" t="0" r="104775"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rsidR="008803C8" w:rsidRDefault="008803C8" w:rsidP="008803C8">
      <w:pPr>
        <w:spacing w:after="0" w:line="240" w:lineRule="auto"/>
        <w:rPr>
          <w:rFonts w:ascii="Arial" w:hAnsi="Arial" w:cs="Arial"/>
        </w:rPr>
      </w:pPr>
    </w:p>
    <w:p w:rsidR="008803C8" w:rsidRDefault="008803C8" w:rsidP="008803C8">
      <w:pPr>
        <w:spacing w:after="0" w:line="240" w:lineRule="auto"/>
        <w:ind w:left="708"/>
        <w:jc w:val="both"/>
        <w:rPr>
          <w:rFonts w:ascii="Arial" w:hAnsi="Arial" w:cs="Arial"/>
        </w:rPr>
      </w:pPr>
      <w:r w:rsidRPr="001A5F43">
        <w:rPr>
          <w:rFonts w:ascii="Arial" w:hAnsi="Arial" w:cs="Arial"/>
        </w:rPr>
        <w:t>Applications for promotion shall be rendered void where an individual resigns from the University during the promotions exercise.</w:t>
      </w:r>
    </w:p>
    <w:p w:rsidR="008803C8" w:rsidRDefault="008803C8" w:rsidP="008803C8">
      <w:pPr>
        <w:spacing w:after="0" w:line="240" w:lineRule="auto"/>
        <w:rPr>
          <w:rFonts w:ascii="Arial" w:hAnsi="Arial" w:cs="Arial"/>
        </w:rPr>
      </w:pPr>
    </w:p>
    <w:p w:rsidR="005358D6" w:rsidRDefault="005358D6"/>
    <w:sectPr w:rsidR="005358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C6A67"/>
    <w:multiLevelType w:val="hybridMultilevel"/>
    <w:tmpl w:val="80DA9FEE"/>
    <w:lvl w:ilvl="0" w:tplc="0809000F">
      <w:start w:val="1"/>
      <w:numFmt w:val="decimal"/>
      <w:lvlText w:val="%1."/>
      <w:lvlJc w:val="left"/>
      <w:pPr>
        <w:tabs>
          <w:tab w:val="num" w:pos="1800"/>
        </w:tabs>
        <w:ind w:left="1800" w:hanging="360"/>
      </w:pPr>
      <w:rPr>
        <w:rFonts w:hint="default"/>
      </w:rPr>
    </w:lvl>
    <w:lvl w:ilvl="1" w:tplc="08090003">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1" w15:restartNumberingAfterBreak="0">
    <w:nsid w:val="25206BE1"/>
    <w:multiLevelType w:val="multilevel"/>
    <w:tmpl w:val="6D863E5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3C8"/>
    <w:rsid w:val="005358D6"/>
    <w:rsid w:val="008803C8"/>
    <w:rsid w:val="00DC31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ED7709-9EAB-4654-B2CC-01F085DD3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03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rsid w:val="008803C8"/>
    <w:pPr>
      <w:spacing w:after="0" w:line="480" w:lineRule="auto"/>
      <w:ind w:left="567"/>
    </w:pPr>
    <w:rPr>
      <w:rFonts w:ascii="Times New Roman" w:eastAsia="Times New Roman" w:hAnsi="Times New Roman" w:cs="Times New Roman"/>
      <w:sz w:val="24"/>
      <w:szCs w:val="20"/>
    </w:rPr>
  </w:style>
  <w:style w:type="character" w:customStyle="1" w:styleId="BodyTextIndent3Char">
    <w:name w:val="Body Text Indent 3 Char"/>
    <w:basedOn w:val="DefaultParagraphFont"/>
    <w:link w:val="BodyTextIndent3"/>
    <w:rsid w:val="008803C8"/>
    <w:rPr>
      <w:rFonts w:ascii="Times New Roman" w:eastAsia="Times New Roman" w:hAnsi="Times New Roman" w:cs="Times New Roman"/>
      <w:sz w:val="24"/>
      <w:szCs w:val="20"/>
    </w:rPr>
  </w:style>
  <w:style w:type="paragraph" w:styleId="ListParagraph">
    <w:name w:val="List Paragraph"/>
    <w:basedOn w:val="Normal"/>
    <w:uiPriority w:val="34"/>
    <w:qFormat/>
    <w:rsid w:val="008803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diagramQuickStyle" Target="diagrams/quickStyl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theme" Target="theme/theme1.xml"/><Relationship Id="rId5" Type="http://schemas.openxmlformats.org/officeDocument/2006/relationships/diagramData" Target="diagrams/data1.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958E919-29E7-49D9-A76A-72DDB67C7045}" type="doc">
      <dgm:prSet loTypeId="urn:microsoft.com/office/officeart/2005/8/layout/process1" loCatId="process" qsTypeId="urn:microsoft.com/office/officeart/2005/8/quickstyle/simple1" qsCatId="simple" csTypeId="urn:microsoft.com/office/officeart/2005/8/colors/accent1_2" csCatId="accent1" phldr="1"/>
      <dgm:spPr/>
    </dgm:pt>
    <dgm:pt modelId="{E0F64AF7-213B-42CF-826B-4AF6D39DFB7E}">
      <dgm:prSet phldrT="[Text]">
        <dgm:style>
          <a:lnRef idx="0">
            <a:schemeClr val="accent2"/>
          </a:lnRef>
          <a:fillRef idx="3">
            <a:schemeClr val="accent2"/>
          </a:fillRef>
          <a:effectRef idx="3">
            <a:schemeClr val="accent2"/>
          </a:effectRef>
          <a:fontRef idx="minor">
            <a:schemeClr val="lt1"/>
          </a:fontRef>
        </dgm:style>
      </dgm:prSet>
      <dgm:spPr>
        <a:ln/>
      </dgm:spPr>
      <dgm:t>
        <a:bodyPr/>
        <a:lstStyle/>
        <a:p>
          <a:r>
            <a:rPr lang="en-GB" dirty="0" smtClean="0">
              <a:effectLst>
                <a:outerShdw blurRad="38100" dist="38100" dir="2700000" algn="tl">
                  <a:srgbClr val="000000">
                    <a:alpha val="43137"/>
                  </a:srgbClr>
                </a:outerShdw>
              </a:effectLst>
            </a:rPr>
            <a:t>Have completed appraisal in previous year</a:t>
          </a:r>
          <a:endParaRPr lang="en-GB" dirty="0"/>
        </a:p>
      </dgm:t>
    </dgm:pt>
    <dgm:pt modelId="{81F81DBF-7335-46F2-AFD7-97CE5E4C2A7C}" type="parTrans" cxnId="{9D865647-6DB7-40C2-A134-768A520EB84B}">
      <dgm:prSet/>
      <dgm:spPr/>
      <dgm:t>
        <a:bodyPr/>
        <a:lstStyle/>
        <a:p>
          <a:endParaRPr lang="en-GB"/>
        </a:p>
      </dgm:t>
    </dgm:pt>
    <dgm:pt modelId="{0FAF8179-B929-40D0-A32A-BB7D8365D466}" type="sibTrans" cxnId="{9D865647-6DB7-40C2-A134-768A520EB84B}">
      <dgm:prSet/>
      <dgm:spPr>
        <a:solidFill>
          <a:schemeClr val="tx1"/>
        </a:solidFill>
      </dgm:spPr>
      <dgm:t>
        <a:bodyPr/>
        <a:lstStyle/>
        <a:p>
          <a:endParaRPr lang="en-GB" dirty="0"/>
        </a:p>
      </dgm:t>
    </dgm:pt>
    <dgm:pt modelId="{CB025322-9BF3-4769-88CE-BB7CE1859EBF}">
      <dgm:prSet phldrT="[Text]">
        <dgm:style>
          <a:lnRef idx="0">
            <a:schemeClr val="accent2"/>
          </a:lnRef>
          <a:fillRef idx="3">
            <a:schemeClr val="accent2"/>
          </a:fillRef>
          <a:effectRef idx="3">
            <a:schemeClr val="accent2"/>
          </a:effectRef>
          <a:fontRef idx="minor">
            <a:schemeClr val="lt1"/>
          </a:fontRef>
        </dgm:style>
      </dgm:prSet>
      <dgm:spPr>
        <a:ln/>
      </dgm:spPr>
      <dgm:t>
        <a:bodyPr/>
        <a:lstStyle/>
        <a:p>
          <a:r>
            <a:rPr lang="en-GB" dirty="0" smtClean="0">
              <a:effectLst>
                <a:outerShdw blurRad="38100" dist="38100" dir="2700000" algn="tl">
                  <a:srgbClr val="000000">
                    <a:alpha val="43137"/>
                  </a:srgbClr>
                </a:outerShdw>
              </a:effectLst>
            </a:rPr>
            <a:t>Be out of probation</a:t>
          </a:r>
          <a:endParaRPr lang="en-GB" dirty="0"/>
        </a:p>
      </dgm:t>
    </dgm:pt>
    <dgm:pt modelId="{400C72FA-49BF-4837-80C0-4C7DA39DF8D1}" type="parTrans" cxnId="{CE2E2578-91B5-4005-896C-844BAA60D045}">
      <dgm:prSet/>
      <dgm:spPr/>
      <dgm:t>
        <a:bodyPr/>
        <a:lstStyle/>
        <a:p>
          <a:endParaRPr lang="en-GB"/>
        </a:p>
      </dgm:t>
    </dgm:pt>
    <dgm:pt modelId="{A96D4BCF-FAD9-43F9-BD79-15D20A889825}" type="sibTrans" cxnId="{CE2E2578-91B5-4005-896C-844BAA60D045}">
      <dgm:prSet/>
      <dgm:spPr>
        <a:solidFill>
          <a:schemeClr val="tx1"/>
        </a:solidFill>
      </dgm:spPr>
      <dgm:t>
        <a:bodyPr/>
        <a:lstStyle/>
        <a:p>
          <a:endParaRPr lang="en-GB"/>
        </a:p>
      </dgm:t>
    </dgm:pt>
    <dgm:pt modelId="{09970F3F-5BF3-4A15-8C8B-AFFBFA58A192}">
      <dgm:prSet phldrT="[Text]">
        <dgm:style>
          <a:lnRef idx="0">
            <a:schemeClr val="accent2"/>
          </a:lnRef>
          <a:fillRef idx="3">
            <a:schemeClr val="accent2"/>
          </a:fillRef>
          <a:effectRef idx="3">
            <a:schemeClr val="accent2"/>
          </a:effectRef>
          <a:fontRef idx="minor">
            <a:schemeClr val="lt1"/>
          </a:fontRef>
        </dgm:style>
      </dgm:prSet>
      <dgm:spPr>
        <a:ln/>
      </dgm:spPr>
      <dgm:t>
        <a:bodyPr/>
        <a:lstStyle/>
        <a:p>
          <a:r>
            <a:rPr lang="en-GB" dirty="0" smtClean="0">
              <a:effectLst>
                <a:outerShdw blurRad="38100" dist="38100" dir="2700000" algn="tl">
                  <a:srgbClr val="000000">
                    <a:alpha val="43137"/>
                  </a:srgbClr>
                </a:outerShdw>
              </a:effectLst>
            </a:rPr>
            <a:t>Be in post more than 12 months</a:t>
          </a:r>
          <a:endParaRPr lang="en-GB" dirty="0"/>
        </a:p>
      </dgm:t>
    </dgm:pt>
    <dgm:pt modelId="{904A8470-89D6-4F95-B659-71BC42DDD6DF}" type="parTrans" cxnId="{C12A4B10-AE77-44ED-9F49-5F8A5B318F79}">
      <dgm:prSet/>
      <dgm:spPr/>
      <dgm:t>
        <a:bodyPr/>
        <a:lstStyle/>
        <a:p>
          <a:endParaRPr lang="en-GB"/>
        </a:p>
      </dgm:t>
    </dgm:pt>
    <dgm:pt modelId="{897B5D11-C333-4BFF-9A69-F098668A3990}" type="sibTrans" cxnId="{C12A4B10-AE77-44ED-9F49-5F8A5B318F79}">
      <dgm:prSet/>
      <dgm:spPr/>
      <dgm:t>
        <a:bodyPr/>
        <a:lstStyle/>
        <a:p>
          <a:endParaRPr lang="en-GB"/>
        </a:p>
      </dgm:t>
    </dgm:pt>
    <dgm:pt modelId="{8C491701-B5AD-4D96-A67C-024F6E4150FC}" type="pres">
      <dgm:prSet presAssocID="{A958E919-29E7-49D9-A76A-72DDB67C7045}" presName="Name0" presStyleCnt="0">
        <dgm:presLayoutVars>
          <dgm:dir/>
          <dgm:resizeHandles val="exact"/>
        </dgm:presLayoutVars>
      </dgm:prSet>
      <dgm:spPr/>
    </dgm:pt>
    <dgm:pt modelId="{08CFE882-315C-4D6A-97EE-64225C081442}" type="pres">
      <dgm:prSet presAssocID="{E0F64AF7-213B-42CF-826B-4AF6D39DFB7E}" presName="node" presStyleLbl="node1" presStyleIdx="0" presStyleCnt="3" custScaleX="84945" custLinFactNeighborX="72864" custLinFactNeighborY="213">
        <dgm:presLayoutVars>
          <dgm:bulletEnabled val="1"/>
        </dgm:presLayoutVars>
      </dgm:prSet>
      <dgm:spPr/>
      <dgm:t>
        <a:bodyPr/>
        <a:lstStyle/>
        <a:p>
          <a:endParaRPr lang="en-GB"/>
        </a:p>
      </dgm:t>
    </dgm:pt>
    <dgm:pt modelId="{0A3644A7-C238-4B4D-A184-9D6E0C7655AD}" type="pres">
      <dgm:prSet presAssocID="{0FAF8179-B929-40D0-A32A-BB7D8365D466}" presName="sibTrans" presStyleLbl="sibTrans2D1" presStyleIdx="0" presStyleCnt="2" custScaleY="55481"/>
      <dgm:spPr>
        <a:prstGeom prst="mathPlus">
          <a:avLst/>
        </a:prstGeom>
      </dgm:spPr>
      <dgm:t>
        <a:bodyPr/>
        <a:lstStyle/>
        <a:p>
          <a:endParaRPr lang="en-GB"/>
        </a:p>
      </dgm:t>
    </dgm:pt>
    <dgm:pt modelId="{3FEFD217-16EC-4C9C-8BCF-18F57AD786EF}" type="pres">
      <dgm:prSet presAssocID="{0FAF8179-B929-40D0-A32A-BB7D8365D466}" presName="connectorText" presStyleLbl="sibTrans2D1" presStyleIdx="0" presStyleCnt="2"/>
      <dgm:spPr>
        <a:prstGeom prst="mathPlus">
          <a:avLst/>
        </a:prstGeom>
      </dgm:spPr>
      <dgm:t>
        <a:bodyPr/>
        <a:lstStyle/>
        <a:p>
          <a:endParaRPr lang="en-GB"/>
        </a:p>
      </dgm:t>
    </dgm:pt>
    <dgm:pt modelId="{1C926F89-7BC3-41CE-84F8-BC1E1A285F0C}" type="pres">
      <dgm:prSet presAssocID="{CB025322-9BF3-4769-88CE-BB7CE1859EBF}" presName="node" presStyleLbl="node1" presStyleIdx="1" presStyleCnt="3" custScaleX="79288" custLinFactNeighborX="37878" custLinFactNeighborY="765">
        <dgm:presLayoutVars>
          <dgm:bulletEnabled val="1"/>
        </dgm:presLayoutVars>
      </dgm:prSet>
      <dgm:spPr/>
      <dgm:t>
        <a:bodyPr/>
        <a:lstStyle/>
        <a:p>
          <a:endParaRPr lang="en-GB"/>
        </a:p>
      </dgm:t>
    </dgm:pt>
    <dgm:pt modelId="{63D15B57-2216-4A09-9E72-E863FB4A5700}" type="pres">
      <dgm:prSet presAssocID="{A96D4BCF-FAD9-43F9-BD79-15D20A889825}" presName="sibTrans" presStyleLbl="sibTrans2D1" presStyleIdx="1" presStyleCnt="2" custScaleY="66288"/>
      <dgm:spPr>
        <a:prstGeom prst="mathPlus">
          <a:avLst/>
        </a:prstGeom>
      </dgm:spPr>
      <dgm:t>
        <a:bodyPr/>
        <a:lstStyle/>
        <a:p>
          <a:endParaRPr lang="en-GB"/>
        </a:p>
      </dgm:t>
    </dgm:pt>
    <dgm:pt modelId="{EF41FA47-AA34-4B89-A6DD-BBC0EFA25A20}" type="pres">
      <dgm:prSet presAssocID="{A96D4BCF-FAD9-43F9-BD79-15D20A889825}" presName="connectorText" presStyleLbl="sibTrans2D1" presStyleIdx="1" presStyleCnt="2"/>
      <dgm:spPr/>
      <dgm:t>
        <a:bodyPr/>
        <a:lstStyle/>
        <a:p>
          <a:endParaRPr lang="en-GB"/>
        </a:p>
      </dgm:t>
    </dgm:pt>
    <dgm:pt modelId="{1675FE1A-A100-42A4-A100-522B7C1DDDBA}" type="pres">
      <dgm:prSet presAssocID="{09970F3F-5BF3-4A15-8C8B-AFFBFA58A192}" presName="node" presStyleLbl="node1" presStyleIdx="2" presStyleCnt="3" custScaleX="74208">
        <dgm:presLayoutVars>
          <dgm:bulletEnabled val="1"/>
        </dgm:presLayoutVars>
      </dgm:prSet>
      <dgm:spPr/>
      <dgm:t>
        <a:bodyPr/>
        <a:lstStyle/>
        <a:p>
          <a:endParaRPr lang="en-GB"/>
        </a:p>
      </dgm:t>
    </dgm:pt>
  </dgm:ptLst>
  <dgm:cxnLst>
    <dgm:cxn modelId="{17398198-A879-4396-99A3-86580D852751}" type="presOf" srcId="{A958E919-29E7-49D9-A76A-72DDB67C7045}" destId="{8C491701-B5AD-4D96-A67C-024F6E4150FC}" srcOrd="0" destOrd="0" presId="urn:microsoft.com/office/officeart/2005/8/layout/process1"/>
    <dgm:cxn modelId="{9A82883F-9177-4486-878E-0F5EB65A4D82}" type="presOf" srcId="{E0F64AF7-213B-42CF-826B-4AF6D39DFB7E}" destId="{08CFE882-315C-4D6A-97EE-64225C081442}" srcOrd="0" destOrd="0" presId="urn:microsoft.com/office/officeart/2005/8/layout/process1"/>
    <dgm:cxn modelId="{3AC6E366-5628-46D1-AC75-77A91B82542C}" type="presOf" srcId="{09970F3F-5BF3-4A15-8C8B-AFFBFA58A192}" destId="{1675FE1A-A100-42A4-A100-522B7C1DDDBA}" srcOrd="0" destOrd="0" presId="urn:microsoft.com/office/officeart/2005/8/layout/process1"/>
    <dgm:cxn modelId="{87F03EC5-1A6C-425F-8439-43BFA0FDA926}" type="presOf" srcId="{0FAF8179-B929-40D0-A32A-BB7D8365D466}" destId="{0A3644A7-C238-4B4D-A184-9D6E0C7655AD}" srcOrd="0" destOrd="0" presId="urn:microsoft.com/office/officeart/2005/8/layout/process1"/>
    <dgm:cxn modelId="{D19F417F-0542-46D3-A241-B150596C2B6D}" type="presOf" srcId="{CB025322-9BF3-4769-88CE-BB7CE1859EBF}" destId="{1C926F89-7BC3-41CE-84F8-BC1E1A285F0C}" srcOrd="0" destOrd="0" presId="urn:microsoft.com/office/officeart/2005/8/layout/process1"/>
    <dgm:cxn modelId="{9D865647-6DB7-40C2-A134-768A520EB84B}" srcId="{A958E919-29E7-49D9-A76A-72DDB67C7045}" destId="{E0F64AF7-213B-42CF-826B-4AF6D39DFB7E}" srcOrd="0" destOrd="0" parTransId="{81F81DBF-7335-46F2-AFD7-97CE5E4C2A7C}" sibTransId="{0FAF8179-B929-40D0-A32A-BB7D8365D466}"/>
    <dgm:cxn modelId="{CE2E2578-91B5-4005-896C-844BAA60D045}" srcId="{A958E919-29E7-49D9-A76A-72DDB67C7045}" destId="{CB025322-9BF3-4769-88CE-BB7CE1859EBF}" srcOrd="1" destOrd="0" parTransId="{400C72FA-49BF-4837-80C0-4C7DA39DF8D1}" sibTransId="{A96D4BCF-FAD9-43F9-BD79-15D20A889825}"/>
    <dgm:cxn modelId="{5BBC446B-EA9F-4349-A5D3-1102739A6D4E}" type="presOf" srcId="{A96D4BCF-FAD9-43F9-BD79-15D20A889825}" destId="{63D15B57-2216-4A09-9E72-E863FB4A5700}" srcOrd="0" destOrd="0" presId="urn:microsoft.com/office/officeart/2005/8/layout/process1"/>
    <dgm:cxn modelId="{BBC1196F-E0FD-45F1-9E44-0CFF525647BA}" type="presOf" srcId="{0FAF8179-B929-40D0-A32A-BB7D8365D466}" destId="{3FEFD217-16EC-4C9C-8BCF-18F57AD786EF}" srcOrd="1" destOrd="0" presId="urn:microsoft.com/office/officeart/2005/8/layout/process1"/>
    <dgm:cxn modelId="{8B8F3AFF-EB7A-48CC-B64A-08D7509724E7}" type="presOf" srcId="{A96D4BCF-FAD9-43F9-BD79-15D20A889825}" destId="{EF41FA47-AA34-4B89-A6DD-BBC0EFA25A20}" srcOrd="1" destOrd="0" presId="urn:microsoft.com/office/officeart/2005/8/layout/process1"/>
    <dgm:cxn modelId="{C12A4B10-AE77-44ED-9F49-5F8A5B318F79}" srcId="{A958E919-29E7-49D9-A76A-72DDB67C7045}" destId="{09970F3F-5BF3-4A15-8C8B-AFFBFA58A192}" srcOrd="2" destOrd="0" parTransId="{904A8470-89D6-4F95-B659-71BC42DDD6DF}" sibTransId="{897B5D11-C333-4BFF-9A69-F098668A3990}"/>
    <dgm:cxn modelId="{385B590B-6411-44E5-99F7-1F059003AEA3}" type="presParOf" srcId="{8C491701-B5AD-4D96-A67C-024F6E4150FC}" destId="{08CFE882-315C-4D6A-97EE-64225C081442}" srcOrd="0" destOrd="0" presId="urn:microsoft.com/office/officeart/2005/8/layout/process1"/>
    <dgm:cxn modelId="{DF5F7467-E2B7-4379-8BA3-7DA174345E66}" type="presParOf" srcId="{8C491701-B5AD-4D96-A67C-024F6E4150FC}" destId="{0A3644A7-C238-4B4D-A184-9D6E0C7655AD}" srcOrd="1" destOrd="0" presId="urn:microsoft.com/office/officeart/2005/8/layout/process1"/>
    <dgm:cxn modelId="{3FAD90A7-0FC9-4313-97EA-D322437D4D35}" type="presParOf" srcId="{0A3644A7-C238-4B4D-A184-9D6E0C7655AD}" destId="{3FEFD217-16EC-4C9C-8BCF-18F57AD786EF}" srcOrd="0" destOrd="0" presId="urn:microsoft.com/office/officeart/2005/8/layout/process1"/>
    <dgm:cxn modelId="{CBCF6C1F-397E-4684-AA28-7636DCAF819A}" type="presParOf" srcId="{8C491701-B5AD-4D96-A67C-024F6E4150FC}" destId="{1C926F89-7BC3-41CE-84F8-BC1E1A285F0C}" srcOrd="2" destOrd="0" presId="urn:microsoft.com/office/officeart/2005/8/layout/process1"/>
    <dgm:cxn modelId="{22026011-1C6E-4826-BE3A-B03A3F2142E9}" type="presParOf" srcId="{8C491701-B5AD-4D96-A67C-024F6E4150FC}" destId="{63D15B57-2216-4A09-9E72-E863FB4A5700}" srcOrd="3" destOrd="0" presId="urn:microsoft.com/office/officeart/2005/8/layout/process1"/>
    <dgm:cxn modelId="{176E57AE-B212-421B-9ABB-D72025B510E9}" type="presParOf" srcId="{63D15B57-2216-4A09-9E72-E863FB4A5700}" destId="{EF41FA47-AA34-4B89-A6DD-BBC0EFA25A20}" srcOrd="0" destOrd="0" presId="urn:microsoft.com/office/officeart/2005/8/layout/process1"/>
    <dgm:cxn modelId="{3BA6A3F8-15F3-4A5D-B06E-0151BAFE9BB7}" type="presParOf" srcId="{8C491701-B5AD-4D96-A67C-024F6E4150FC}" destId="{1675FE1A-A100-42A4-A100-522B7C1DDDBA}" srcOrd="4" destOrd="0" presId="urn:microsoft.com/office/officeart/2005/8/layout/process1"/>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8CFE882-315C-4D6A-97EE-64225C081442}">
      <dsp:nvSpPr>
        <dsp:cNvPr id="0" name=""/>
        <dsp:cNvSpPr/>
      </dsp:nvSpPr>
      <dsp:spPr>
        <a:xfrm>
          <a:off x="526172" y="207594"/>
          <a:ext cx="1531796" cy="1132685"/>
        </a:xfrm>
        <a:prstGeom prst="roundRect">
          <a:avLst>
            <a:gd name="adj" fmla="val 10000"/>
          </a:avLst>
        </a:prstGeom>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hemeClr val="accent2"/>
        </a:lnRef>
        <a:fillRef idx="3">
          <a:schemeClr val="accent2"/>
        </a:fillRef>
        <a:effectRef idx="3">
          <a:schemeClr val="accent2"/>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en-GB" sz="1600" kern="1200" dirty="0" smtClean="0">
              <a:effectLst>
                <a:outerShdw blurRad="38100" dist="38100" dir="2700000" algn="tl">
                  <a:srgbClr val="000000">
                    <a:alpha val="43137"/>
                  </a:srgbClr>
                </a:outerShdw>
              </a:effectLst>
            </a:rPr>
            <a:t>Have completed appraisal in previous year</a:t>
          </a:r>
          <a:endParaRPr lang="en-GB" sz="1600" kern="1200" dirty="0"/>
        </a:p>
      </dsp:txBody>
      <dsp:txXfrm>
        <a:off x="559347" y="240769"/>
        <a:ext cx="1465446" cy="1066335"/>
      </dsp:txXfrm>
    </dsp:sp>
    <dsp:sp modelId="{0A3644A7-C238-4B4D-A184-9D6E0C7655AD}">
      <dsp:nvSpPr>
        <dsp:cNvPr id="0" name=""/>
        <dsp:cNvSpPr/>
      </dsp:nvSpPr>
      <dsp:spPr>
        <a:xfrm rot="11024">
          <a:off x="2175206" y="653108"/>
          <a:ext cx="248546" cy="248118"/>
        </a:xfrm>
        <a:prstGeom prst="mathPlus">
          <a:avLst/>
        </a:prstGeom>
        <a:solidFill>
          <a:schemeClr val="tx1"/>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n-GB" sz="500" kern="1200" dirty="0"/>
        </a:p>
      </dsp:txBody>
      <dsp:txXfrm>
        <a:off x="2208151" y="747988"/>
        <a:ext cx="182656" cy="58358"/>
      </dsp:txXfrm>
    </dsp:sp>
    <dsp:sp modelId="{1C926F89-7BC3-41CE-84F8-BC1E1A285F0C}">
      <dsp:nvSpPr>
        <dsp:cNvPr id="0" name=""/>
        <dsp:cNvSpPr/>
      </dsp:nvSpPr>
      <dsp:spPr>
        <a:xfrm>
          <a:off x="2526922" y="213847"/>
          <a:ext cx="1429785" cy="1132685"/>
        </a:xfrm>
        <a:prstGeom prst="roundRect">
          <a:avLst>
            <a:gd name="adj" fmla="val 10000"/>
          </a:avLst>
        </a:prstGeom>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hemeClr val="accent2"/>
        </a:lnRef>
        <a:fillRef idx="3">
          <a:schemeClr val="accent2"/>
        </a:fillRef>
        <a:effectRef idx="3">
          <a:schemeClr val="accent2"/>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en-GB" sz="1600" kern="1200" dirty="0" smtClean="0">
              <a:effectLst>
                <a:outerShdw blurRad="38100" dist="38100" dir="2700000" algn="tl">
                  <a:srgbClr val="000000">
                    <a:alpha val="43137"/>
                  </a:srgbClr>
                </a:outerShdw>
              </a:effectLst>
            </a:rPr>
            <a:t>Be out of probation</a:t>
          </a:r>
          <a:endParaRPr lang="en-GB" sz="1600" kern="1200" dirty="0"/>
        </a:p>
      </dsp:txBody>
      <dsp:txXfrm>
        <a:off x="2560097" y="247022"/>
        <a:ext cx="1363435" cy="1066335"/>
      </dsp:txXfrm>
    </dsp:sp>
    <dsp:sp modelId="{63D15B57-2216-4A09-9E72-E863FB4A5700}">
      <dsp:nvSpPr>
        <dsp:cNvPr id="0" name=""/>
        <dsp:cNvSpPr/>
      </dsp:nvSpPr>
      <dsp:spPr>
        <a:xfrm rot="21583741">
          <a:off x="4068729" y="627492"/>
          <a:ext cx="237492" cy="296448"/>
        </a:xfrm>
        <a:prstGeom prst="mathPlus">
          <a:avLst/>
        </a:prstGeom>
        <a:solidFill>
          <a:schemeClr val="tx1"/>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n-GB" sz="1200" kern="1200"/>
        </a:p>
      </dsp:txBody>
      <dsp:txXfrm>
        <a:off x="4068729" y="686950"/>
        <a:ext cx="166244" cy="177868"/>
      </dsp:txXfrm>
    </dsp:sp>
    <dsp:sp modelId="{1675FE1A-A100-42A4-A100-522B7C1DDDBA}">
      <dsp:nvSpPr>
        <dsp:cNvPr id="0" name=""/>
        <dsp:cNvSpPr/>
      </dsp:nvSpPr>
      <dsp:spPr>
        <a:xfrm>
          <a:off x="4404801" y="205182"/>
          <a:ext cx="1338178" cy="1132685"/>
        </a:xfrm>
        <a:prstGeom prst="roundRect">
          <a:avLst>
            <a:gd name="adj" fmla="val 10000"/>
          </a:avLst>
        </a:prstGeom>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hemeClr val="accent2"/>
        </a:lnRef>
        <a:fillRef idx="3">
          <a:schemeClr val="accent2"/>
        </a:fillRef>
        <a:effectRef idx="3">
          <a:schemeClr val="accent2"/>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en-GB" sz="1600" kern="1200" dirty="0" smtClean="0">
              <a:effectLst>
                <a:outerShdw blurRad="38100" dist="38100" dir="2700000" algn="tl">
                  <a:srgbClr val="000000">
                    <a:alpha val="43137"/>
                  </a:srgbClr>
                </a:outerShdw>
              </a:effectLst>
            </a:rPr>
            <a:t>Be in post more than 12 months</a:t>
          </a:r>
          <a:endParaRPr lang="en-GB" sz="1600" kern="1200" dirty="0"/>
        </a:p>
      </dsp:txBody>
      <dsp:txXfrm>
        <a:off x="4437976" y="238357"/>
        <a:ext cx="1271828" cy="1066335"/>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200</Words>
  <Characters>1140</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McCullough</dc:creator>
  <cp:keywords/>
  <dc:description/>
  <cp:lastModifiedBy>Laura Lynch</cp:lastModifiedBy>
  <cp:revision>2</cp:revision>
  <dcterms:created xsi:type="dcterms:W3CDTF">2019-01-09T13:23:00Z</dcterms:created>
  <dcterms:modified xsi:type="dcterms:W3CDTF">2019-01-09T13:23:00Z</dcterms:modified>
</cp:coreProperties>
</file>