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ABC2" w14:textId="55A372E8" w:rsidR="00EA323E" w:rsidRPr="00644F17" w:rsidRDefault="00644F17" w:rsidP="00644F17">
      <w:pPr>
        <w:pStyle w:val="Default"/>
        <w:rPr>
          <w:b/>
          <w:bCs/>
          <w:sz w:val="20"/>
          <w:szCs w:val="20"/>
        </w:rPr>
      </w:pPr>
      <w:r>
        <w:rPr>
          <w:b/>
          <w:bCs/>
          <w:sz w:val="20"/>
          <w:szCs w:val="20"/>
        </w:rPr>
        <w:t>JURY SERVICE</w:t>
      </w:r>
    </w:p>
    <w:p w14:paraId="3DEB0792" w14:textId="77777777" w:rsidR="00EA323E" w:rsidRPr="00644F17" w:rsidRDefault="00EA323E" w:rsidP="00644F17">
      <w:pPr>
        <w:pStyle w:val="Default"/>
        <w:rPr>
          <w:sz w:val="20"/>
          <w:szCs w:val="20"/>
        </w:rPr>
      </w:pPr>
    </w:p>
    <w:p w14:paraId="7C8E3A8F" w14:textId="77777777" w:rsidR="00EA323E" w:rsidRPr="00644F17" w:rsidRDefault="00EA323E" w:rsidP="00644F17">
      <w:pPr>
        <w:spacing w:line="240" w:lineRule="auto"/>
        <w:rPr>
          <w:rFonts w:ascii="Arial" w:hAnsi="Arial" w:cs="Arial"/>
          <w:sz w:val="20"/>
          <w:szCs w:val="20"/>
        </w:rPr>
      </w:pPr>
      <w:r w:rsidRPr="00644F17">
        <w:rPr>
          <w:rFonts w:ascii="Arial" w:hAnsi="Arial" w:cs="Arial"/>
          <w:sz w:val="20"/>
          <w:szCs w:val="20"/>
        </w:rPr>
        <w:t>Jury service is a public duty. Unless someone is disqualified, has the right to be excused or has a valid reason for discretionary excusal then they must serve.</w:t>
      </w:r>
    </w:p>
    <w:p w14:paraId="77698DEF" w14:textId="77777777" w:rsidR="00EA323E" w:rsidRPr="00644F17" w:rsidRDefault="00EA323E" w:rsidP="00644F17">
      <w:pPr>
        <w:spacing w:line="240" w:lineRule="auto"/>
        <w:rPr>
          <w:rFonts w:ascii="Arial" w:hAnsi="Arial" w:cs="Arial"/>
          <w:sz w:val="20"/>
          <w:szCs w:val="20"/>
        </w:rPr>
      </w:pPr>
      <w:r w:rsidRPr="00644F17">
        <w:rPr>
          <w:rFonts w:ascii="Arial" w:hAnsi="Arial" w:cs="Arial"/>
          <w:sz w:val="20"/>
          <w:szCs w:val="20"/>
        </w:rPr>
        <w:t>All Jurors are selected at random by computer from the electoral register. Everyone on the electoral register from the ages of 18 to 69 may be selected even if they are not eligible to serve on a Jury. Some people never get called, others get called more than once.</w:t>
      </w:r>
    </w:p>
    <w:p w14:paraId="2777121F" w14:textId="77777777" w:rsidR="00EA323E" w:rsidRPr="00644F17" w:rsidRDefault="00EA323E" w:rsidP="00644F17">
      <w:pPr>
        <w:pStyle w:val="Default"/>
        <w:rPr>
          <w:sz w:val="20"/>
          <w:szCs w:val="20"/>
        </w:rPr>
      </w:pPr>
      <w:r w:rsidRPr="00644F17">
        <w:rPr>
          <w:sz w:val="20"/>
          <w:szCs w:val="20"/>
        </w:rPr>
        <w:t xml:space="preserve">Members of staff who are called for jury service will be granted special leave of absence. Although salary payments will continue during any absence, a salary adjustment will be made on the completion of jury service based on any allowances paid by the Crown Court (excluding expenses). To enable the Salaries Office to make the necessary salary adjustments, it is the responsibility of the member of staff to:- </w:t>
      </w:r>
      <w:bookmarkStart w:id="0" w:name="_GoBack"/>
      <w:bookmarkEnd w:id="0"/>
    </w:p>
    <w:p w14:paraId="1DFEF253" w14:textId="77777777" w:rsidR="00EA323E" w:rsidRPr="00644F17" w:rsidRDefault="00EA323E" w:rsidP="00644F17">
      <w:pPr>
        <w:pStyle w:val="Default"/>
        <w:rPr>
          <w:sz w:val="20"/>
          <w:szCs w:val="20"/>
        </w:rPr>
      </w:pPr>
    </w:p>
    <w:p w14:paraId="58A3236E" w14:textId="77777777" w:rsidR="00EA323E" w:rsidRPr="00644F17" w:rsidRDefault="00EA323E" w:rsidP="00644F17">
      <w:pPr>
        <w:pStyle w:val="Default"/>
        <w:rPr>
          <w:sz w:val="20"/>
          <w:szCs w:val="20"/>
        </w:rPr>
      </w:pPr>
      <w:r w:rsidRPr="00644F17">
        <w:rPr>
          <w:sz w:val="20"/>
          <w:szCs w:val="20"/>
        </w:rPr>
        <w:t xml:space="preserve">1.1. forward the ‘Certificate of Loss of Earnings or Benefit’ issued by the Crown Court to the Salaries Office for completion prior to attending jury service. </w:t>
      </w:r>
    </w:p>
    <w:p w14:paraId="05932588" w14:textId="77777777" w:rsidR="00EA323E" w:rsidRPr="00644F17" w:rsidRDefault="00EA323E" w:rsidP="00644F17">
      <w:pPr>
        <w:pStyle w:val="Default"/>
        <w:rPr>
          <w:sz w:val="20"/>
          <w:szCs w:val="20"/>
        </w:rPr>
      </w:pPr>
    </w:p>
    <w:p w14:paraId="79137B77" w14:textId="77777777" w:rsidR="00EA323E" w:rsidRPr="00644F17" w:rsidRDefault="00EA323E" w:rsidP="00644F17">
      <w:pPr>
        <w:pStyle w:val="Default"/>
        <w:rPr>
          <w:sz w:val="20"/>
          <w:szCs w:val="20"/>
        </w:rPr>
      </w:pPr>
      <w:r w:rsidRPr="00644F17">
        <w:rPr>
          <w:sz w:val="20"/>
          <w:szCs w:val="20"/>
        </w:rPr>
        <w:t xml:space="preserve">1.2. inform the Payroll Office on completion of jury service about the total allowance paid by the Crown Court. </w:t>
      </w:r>
    </w:p>
    <w:p w14:paraId="7B7472BF" w14:textId="77777777" w:rsidR="00EA323E" w:rsidRPr="00644F17" w:rsidRDefault="00EA323E" w:rsidP="00644F17">
      <w:pPr>
        <w:pStyle w:val="Default"/>
        <w:rPr>
          <w:sz w:val="20"/>
          <w:szCs w:val="20"/>
        </w:rPr>
      </w:pPr>
    </w:p>
    <w:p w14:paraId="3D630698" w14:textId="77777777" w:rsidR="00EA323E" w:rsidRPr="00644F17" w:rsidRDefault="00EA323E" w:rsidP="00644F17">
      <w:pPr>
        <w:pStyle w:val="Default"/>
        <w:rPr>
          <w:sz w:val="20"/>
          <w:szCs w:val="20"/>
        </w:rPr>
      </w:pPr>
      <w:r w:rsidRPr="00644F17">
        <w:rPr>
          <w:sz w:val="20"/>
          <w:szCs w:val="20"/>
        </w:rPr>
        <w:t xml:space="preserve">2. Further advice about jury service can be obtained from the Salaries Office. </w:t>
      </w:r>
    </w:p>
    <w:p w14:paraId="1B00BCC7" w14:textId="77777777" w:rsidR="00C75B76" w:rsidRDefault="00C75B76"/>
    <w:sectPr w:rsidR="00C75B76" w:rsidSect="005E38A2">
      <w:pgSz w:w="11906" w:h="17338"/>
      <w:pgMar w:top="1877" w:right="916" w:bottom="635"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D27FA"/>
    <w:multiLevelType w:val="hybridMultilevel"/>
    <w:tmpl w:val="A7EE03D8"/>
    <w:lvl w:ilvl="0" w:tplc="F444952A">
      <w:start w:val="1"/>
      <w:numFmt w:val="bullet"/>
      <w:lvlText w:val="•"/>
      <w:lvlJc w:val="left"/>
      <w:pPr>
        <w:tabs>
          <w:tab w:val="num" w:pos="720"/>
        </w:tabs>
        <w:ind w:left="720" w:hanging="360"/>
      </w:pPr>
      <w:rPr>
        <w:rFonts w:ascii="Arial" w:hAnsi="Arial" w:hint="default"/>
      </w:rPr>
    </w:lvl>
    <w:lvl w:ilvl="1" w:tplc="EE388CA8" w:tentative="1">
      <w:start w:val="1"/>
      <w:numFmt w:val="bullet"/>
      <w:lvlText w:val="•"/>
      <w:lvlJc w:val="left"/>
      <w:pPr>
        <w:tabs>
          <w:tab w:val="num" w:pos="1440"/>
        </w:tabs>
        <w:ind w:left="1440" w:hanging="360"/>
      </w:pPr>
      <w:rPr>
        <w:rFonts w:ascii="Arial" w:hAnsi="Arial" w:hint="default"/>
      </w:rPr>
    </w:lvl>
    <w:lvl w:ilvl="2" w:tplc="71507A6C" w:tentative="1">
      <w:start w:val="1"/>
      <w:numFmt w:val="bullet"/>
      <w:lvlText w:val="•"/>
      <w:lvlJc w:val="left"/>
      <w:pPr>
        <w:tabs>
          <w:tab w:val="num" w:pos="2160"/>
        </w:tabs>
        <w:ind w:left="2160" w:hanging="360"/>
      </w:pPr>
      <w:rPr>
        <w:rFonts w:ascii="Arial" w:hAnsi="Arial" w:hint="default"/>
      </w:rPr>
    </w:lvl>
    <w:lvl w:ilvl="3" w:tplc="160882AA" w:tentative="1">
      <w:start w:val="1"/>
      <w:numFmt w:val="bullet"/>
      <w:lvlText w:val="•"/>
      <w:lvlJc w:val="left"/>
      <w:pPr>
        <w:tabs>
          <w:tab w:val="num" w:pos="2880"/>
        </w:tabs>
        <w:ind w:left="2880" w:hanging="360"/>
      </w:pPr>
      <w:rPr>
        <w:rFonts w:ascii="Arial" w:hAnsi="Arial" w:hint="default"/>
      </w:rPr>
    </w:lvl>
    <w:lvl w:ilvl="4" w:tplc="32DA2408" w:tentative="1">
      <w:start w:val="1"/>
      <w:numFmt w:val="bullet"/>
      <w:lvlText w:val="•"/>
      <w:lvlJc w:val="left"/>
      <w:pPr>
        <w:tabs>
          <w:tab w:val="num" w:pos="3600"/>
        </w:tabs>
        <w:ind w:left="3600" w:hanging="360"/>
      </w:pPr>
      <w:rPr>
        <w:rFonts w:ascii="Arial" w:hAnsi="Arial" w:hint="default"/>
      </w:rPr>
    </w:lvl>
    <w:lvl w:ilvl="5" w:tplc="A9AA7360" w:tentative="1">
      <w:start w:val="1"/>
      <w:numFmt w:val="bullet"/>
      <w:lvlText w:val="•"/>
      <w:lvlJc w:val="left"/>
      <w:pPr>
        <w:tabs>
          <w:tab w:val="num" w:pos="4320"/>
        </w:tabs>
        <w:ind w:left="4320" w:hanging="360"/>
      </w:pPr>
      <w:rPr>
        <w:rFonts w:ascii="Arial" w:hAnsi="Arial" w:hint="default"/>
      </w:rPr>
    </w:lvl>
    <w:lvl w:ilvl="6" w:tplc="A8A8A58C" w:tentative="1">
      <w:start w:val="1"/>
      <w:numFmt w:val="bullet"/>
      <w:lvlText w:val="•"/>
      <w:lvlJc w:val="left"/>
      <w:pPr>
        <w:tabs>
          <w:tab w:val="num" w:pos="5040"/>
        </w:tabs>
        <w:ind w:left="5040" w:hanging="360"/>
      </w:pPr>
      <w:rPr>
        <w:rFonts w:ascii="Arial" w:hAnsi="Arial" w:hint="default"/>
      </w:rPr>
    </w:lvl>
    <w:lvl w:ilvl="7" w:tplc="8AA08182" w:tentative="1">
      <w:start w:val="1"/>
      <w:numFmt w:val="bullet"/>
      <w:lvlText w:val="•"/>
      <w:lvlJc w:val="left"/>
      <w:pPr>
        <w:tabs>
          <w:tab w:val="num" w:pos="5760"/>
        </w:tabs>
        <w:ind w:left="5760" w:hanging="360"/>
      </w:pPr>
      <w:rPr>
        <w:rFonts w:ascii="Arial" w:hAnsi="Arial" w:hint="default"/>
      </w:rPr>
    </w:lvl>
    <w:lvl w:ilvl="8" w:tplc="E5C6768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3E"/>
    <w:rsid w:val="00644F17"/>
    <w:rsid w:val="00C75B76"/>
    <w:rsid w:val="00EA3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4554"/>
  <w15:chartTrackingRefBased/>
  <w15:docId w15:val="{BCA2FB9C-D3F7-4417-BC0F-AE94C93F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32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906680">
      <w:bodyDiv w:val="1"/>
      <w:marLeft w:val="0"/>
      <w:marRight w:val="0"/>
      <w:marTop w:val="0"/>
      <w:marBottom w:val="0"/>
      <w:divBdr>
        <w:top w:val="none" w:sz="0" w:space="0" w:color="auto"/>
        <w:left w:val="none" w:sz="0" w:space="0" w:color="auto"/>
        <w:bottom w:val="none" w:sz="0" w:space="0" w:color="auto"/>
        <w:right w:val="none" w:sz="0" w:space="0" w:color="auto"/>
      </w:divBdr>
      <w:divsChild>
        <w:div w:id="971248236">
          <w:marLeft w:val="547"/>
          <w:marRight w:val="0"/>
          <w:marTop w:val="200"/>
          <w:marBottom w:val="0"/>
          <w:divBdr>
            <w:top w:val="none" w:sz="0" w:space="0" w:color="auto"/>
            <w:left w:val="none" w:sz="0" w:space="0" w:color="auto"/>
            <w:bottom w:val="none" w:sz="0" w:space="0" w:color="auto"/>
            <w:right w:val="none" w:sz="0" w:space="0" w:color="auto"/>
          </w:divBdr>
        </w:div>
        <w:div w:id="424572885">
          <w:marLeft w:val="547"/>
          <w:marRight w:val="0"/>
          <w:marTop w:val="200"/>
          <w:marBottom w:val="0"/>
          <w:divBdr>
            <w:top w:val="none" w:sz="0" w:space="0" w:color="auto"/>
            <w:left w:val="none" w:sz="0" w:space="0" w:color="auto"/>
            <w:bottom w:val="none" w:sz="0" w:space="0" w:color="auto"/>
            <w:right w:val="none" w:sz="0" w:space="0" w:color="auto"/>
          </w:divBdr>
        </w:div>
        <w:div w:id="99959149">
          <w:marLeft w:val="547"/>
          <w:marRight w:val="0"/>
          <w:marTop w:val="200"/>
          <w:marBottom w:val="0"/>
          <w:divBdr>
            <w:top w:val="none" w:sz="0" w:space="0" w:color="auto"/>
            <w:left w:val="none" w:sz="0" w:space="0" w:color="auto"/>
            <w:bottom w:val="none" w:sz="0" w:space="0" w:color="auto"/>
            <w:right w:val="none" w:sz="0" w:space="0" w:color="auto"/>
          </w:divBdr>
        </w:div>
        <w:div w:id="508520272">
          <w:marLeft w:val="547"/>
          <w:marRight w:val="0"/>
          <w:marTop w:val="200"/>
          <w:marBottom w:val="0"/>
          <w:divBdr>
            <w:top w:val="none" w:sz="0" w:space="0" w:color="auto"/>
            <w:left w:val="none" w:sz="0" w:space="0" w:color="auto"/>
            <w:bottom w:val="none" w:sz="0" w:space="0" w:color="auto"/>
            <w:right w:val="none" w:sz="0" w:space="0" w:color="auto"/>
          </w:divBdr>
        </w:div>
        <w:div w:id="145386806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10B5E-7782-4F2D-B54A-C61E01C79D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70B51-1FC4-4529-A461-C2F2A3B44352}">
  <ds:schemaRefs>
    <ds:schemaRef ds:uri="http://schemas.microsoft.com/sharepoint/v3/contenttype/forms"/>
  </ds:schemaRefs>
</ds:datastoreItem>
</file>

<file path=customXml/itemProps3.xml><?xml version="1.0" encoding="utf-8"?>
<ds:datastoreItem xmlns:ds="http://schemas.openxmlformats.org/officeDocument/2006/customXml" ds:itemID="{47F5F5FD-C0DC-4F17-869A-288963BD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Gilroy</dc:creator>
  <cp:keywords/>
  <dc:description/>
  <cp:lastModifiedBy>emurray</cp:lastModifiedBy>
  <cp:revision>3</cp:revision>
  <dcterms:created xsi:type="dcterms:W3CDTF">2018-08-31T09:39:00Z</dcterms:created>
  <dcterms:modified xsi:type="dcterms:W3CDTF">2019-01-02T10:30:00Z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