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FC39" w14:textId="1F9B910C" w:rsidR="00D771C9" w:rsidRPr="00431845" w:rsidRDefault="00D771C9" w:rsidP="00431845">
      <w:pPr>
        <w:spacing w:line="360" w:lineRule="auto"/>
        <w:jc w:val="center"/>
        <w:rPr>
          <w:sz w:val="24"/>
          <w:szCs w:val="24"/>
        </w:rPr>
      </w:pPr>
      <w:r w:rsidRPr="00431845">
        <w:rPr>
          <w:sz w:val="24"/>
          <w:szCs w:val="24"/>
        </w:rPr>
        <w:t>GUIDELINES FOR VALIDATION/REVIEW PANELS FOR COLLABORATIVE PROGRAMMES</w:t>
      </w:r>
    </w:p>
    <w:p w14:paraId="65B4EF32" w14:textId="77777777" w:rsidR="00D771C9" w:rsidRPr="00431845" w:rsidRDefault="00D771C9" w:rsidP="00431845">
      <w:pPr>
        <w:spacing w:line="360" w:lineRule="auto"/>
        <w:rPr>
          <w:b/>
          <w:sz w:val="24"/>
          <w:szCs w:val="24"/>
        </w:rPr>
      </w:pPr>
    </w:p>
    <w:p w14:paraId="69493EDB" w14:textId="77777777" w:rsidR="00D771C9" w:rsidRPr="00431845" w:rsidRDefault="00D771C9" w:rsidP="00431845">
      <w:pPr>
        <w:spacing w:line="360" w:lineRule="auto"/>
        <w:rPr>
          <w:sz w:val="24"/>
          <w:szCs w:val="24"/>
          <w:u w:val="single"/>
        </w:rPr>
      </w:pPr>
      <w:r w:rsidRPr="00431845">
        <w:rPr>
          <w:sz w:val="24"/>
          <w:szCs w:val="24"/>
        </w:rPr>
        <w:t>1.</w:t>
      </w:r>
      <w:r w:rsidRPr="00431845">
        <w:rPr>
          <w:sz w:val="24"/>
          <w:szCs w:val="24"/>
        </w:rPr>
        <w:tab/>
      </w:r>
      <w:r w:rsidRPr="00431845">
        <w:rPr>
          <w:sz w:val="24"/>
          <w:szCs w:val="24"/>
          <w:u w:val="single"/>
        </w:rPr>
        <w:t>Programme Review</w:t>
      </w:r>
    </w:p>
    <w:p w14:paraId="39FD54C4" w14:textId="77777777" w:rsidR="00D771C9" w:rsidRPr="00431845" w:rsidRDefault="00D771C9" w:rsidP="00431845">
      <w:pPr>
        <w:spacing w:line="360" w:lineRule="auto"/>
        <w:rPr>
          <w:b/>
          <w:sz w:val="24"/>
          <w:szCs w:val="24"/>
        </w:rPr>
      </w:pPr>
    </w:p>
    <w:p w14:paraId="46A9AAAF" w14:textId="02DB45E7" w:rsidR="00D771C9" w:rsidRPr="00431845" w:rsidRDefault="00D771C9" w:rsidP="00431845">
      <w:pPr>
        <w:spacing w:line="360" w:lineRule="auto"/>
        <w:ind w:left="720" w:hanging="720"/>
        <w:rPr>
          <w:sz w:val="24"/>
          <w:szCs w:val="24"/>
        </w:rPr>
      </w:pPr>
      <w:r w:rsidRPr="00431845">
        <w:rPr>
          <w:b/>
          <w:sz w:val="24"/>
          <w:szCs w:val="24"/>
        </w:rPr>
        <w:tab/>
      </w:r>
      <w:r w:rsidRPr="00431845">
        <w:rPr>
          <w:sz w:val="24"/>
          <w:szCs w:val="24"/>
        </w:rPr>
        <w:t xml:space="preserve">A critical but constructive and detailed appraisal of the collaborative proposal/existing programme is to be carried out and a report with findings and recommendations </w:t>
      </w:r>
      <w:r w:rsidR="007D7356">
        <w:rPr>
          <w:sz w:val="24"/>
          <w:szCs w:val="24"/>
        </w:rPr>
        <w:t xml:space="preserve">will be considered by </w:t>
      </w:r>
      <w:r w:rsidR="008C520B">
        <w:rPr>
          <w:sz w:val="24"/>
          <w:szCs w:val="24"/>
        </w:rPr>
        <w:t>Education Committee Quality and Standards (</w:t>
      </w:r>
      <w:r w:rsidR="007D7356">
        <w:rPr>
          <w:sz w:val="24"/>
          <w:szCs w:val="24"/>
        </w:rPr>
        <w:t>ECQS</w:t>
      </w:r>
      <w:r w:rsidR="008C520B">
        <w:rPr>
          <w:sz w:val="24"/>
          <w:szCs w:val="24"/>
        </w:rPr>
        <w:t>)</w:t>
      </w:r>
      <w:r w:rsidR="007D7356">
        <w:rPr>
          <w:sz w:val="24"/>
          <w:szCs w:val="24"/>
        </w:rPr>
        <w:t xml:space="preserve"> and the outcome reported to </w:t>
      </w:r>
      <w:r w:rsidRPr="00431845">
        <w:rPr>
          <w:sz w:val="24"/>
          <w:szCs w:val="24"/>
        </w:rPr>
        <w:t>Academic Council of the University.</w:t>
      </w:r>
    </w:p>
    <w:p w14:paraId="7605E05A" w14:textId="77777777" w:rsidR="00D771C9" w:rsidRPr="00431845" w:rsidRDefault="00D771C9" w:rsidP="00431845">
      <w:pPr>
        <w:spacing w:line="360" w:lineRule="auto"/>
        <w:ind w:left="720" w:hanging="720"/>
        <w:rPr>
          <w:sz w:val="24"/>
          <w:szCs w:val="24"/>
        </w:rPr>
      </w:pPr>
    </w:p>
    <w:p w14:paraId="5A7CC24C" w14:textId="77777777" w:rsidR="00D771C9" w:rsidRPr="00431845" w:rsidRDefault="00D771C9" w:rsidP="00431845">
      <w:pPr>
        <w:spacing w:line="360" w:lineRule="auto"/>
        <w:rPr>
          <w:sz w:val="24"/>
          <w:szCs w:val="24"/>
        </w:rPr>
      </w:pPr>
      <w:r w:rsidRPr="00431845">
        <w:rPr>
          <w:sz w:val="24"/>
          <w:szCs w:val="24"/>
        </w:rPr>
        <w:t>2.</w:t>
      </w:r>
      <w:r w:rsidRPr="00431845">
        <w:rPr>
          <w:sz w:val="24"/>
          <w:szCs w:val="24"/>
        </w:rPr>
        <w:tab/>
      </w:r>
      <w:r w:rsidRPr="00431845">
        <w:rPr>
          <w:sz w:val="24"/>
          <w:szCs w:val="24"/>
          <w:u w:val="single"/>
        </w:rPr>
        <w:t>General Criteria</w:t>
      </w:r>
    </w:p>
    <w:p w14:paraId="7F36C322" w14:textId="77777777" w:rsidR="00D771C9" w:rsidRPr="00431845" w:rsidRDefault="00D771C9" w:rsidP="00431845">
      <w:pPr>
        <w:spacing w:line="360" w:lineRule="auto"/>
        <w:rPr>
          <w:sz w:val="24"/>
          <w:szCs w:val="24"/>
        </w:rPr>
      </w:pPr>
      <w:r w:rsidRPr="00431845">
        <w:rPr>
          <w:b/>
          <w:sz w:val="24"/>
          <w:szCs w:val="24"/>
        </w:rPr>
        <w:tab/>
      </w:r>
    </w:p>
    <w:p w14:paraId="72E8F446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 w:rsidRPr="00431845">
        <w:rPr>
          <w:sz w:val="24"/>
          <w:szCs w:val="24"/>
        </w:rPr>
        <w:tab/>
        <w:t>(a)</w:t>
      </w:r>
      <w:r w:rsidRPr="00431845">
        <w:rPr>
          <w:sz w:val="24"/>
          <w:szCs w:val="24"/>
        </w:rPr>
        <w:tab/>
        <w:t>The Validation Panel must be able to satisfy itself that the collaborative organisation can deliver the proposed programme at a level consistent with provision offered by the University.</w:t>
      </w:r>
    </w:p>
    <w:p w14:paraId="6DF00442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2BE0484C" w14:textId="77777777" w:rsidR="00D771C9" w:rsidRPr="00431845" w:rsidRDefault="00D771C9" w:rsidP="00431845">
      <w:pPr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(b)</w:t>
      </w:r>
      <w:r w:rsidRPr="00431845">
        <w:rPr>
          <w:sz w:val="24"/>
          <w:szCs w:val="24"/>
        </w:rPr>
        <w:tab/>
        <w:t>The Validation Panel must be able to satisfy itself that the appropriate due diligence has been undertaken based on the level of risk identified.</w:t>
      </w:r>
    </w:p>
    <w:p w14:paraId="564249E0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709"/>
        <w:rPr>
          <w:sz w:val="24"/>
          <w:szCs w:val="24"/>
        </w:rPr>
      </w:pPr>
    </w:p>
    <w:p w14:paraId="4818EE0A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/>
        <w:rPr>
          <w:sz w:val="24"/>
          <w:szCs w:val="24"/>
        </w:rPr>
      </w:pPr>
      <w:r w:rsidRPr="00431845">
        <w:rPr>
          <w:sz w:val="24"/>
          <w:szCs w:val="24"/>
        </w:rPr>
        <w:t>Due diligence procedures will take account of the following areas:</w:t>
      </w:r>
    </w:p>
    <w:p w14:paraId="7F70E366" w14:textId="77777777" w:rsidR="00D771C9" w:rsidRPr="00431845" w:rsidRDefault="00D771C9" w:rsidP="00431845">
      <w:pPr>
        <w:numPr>
          <w:ilvl w:val="0"/>
          <w:numId w:val="2"/>
        </w:numPr>
        <w:spacing w:line="360" w:lineRule="auto"/>
        <w:ind w:hanging="720"/>
        <w:rPr>
          <w:sz w:val="24"/>
          <w:szCs w:val="24"/>
        </w:rPr>
      </w:pPr>
      <w:r w:rsidRPr="00431845">
        <w:rPr>
          <w:sz w:val="24"/>
          <w:szCs w:val="24"/>
        </w:rPr>
        <w:t>The legal, financial and cultural aspects of working in a particular country to ensure that the University is in a position to meet any legal and regulatory national requirements.</w:t>
      </w:r>
    </w:p>
    <w:p w14:paraId="28D0C43B" w14:textId="77777777" w:rsidR="00D771C9" w:rsidRPr="00431845" w:rsidRDefault="00D771C9" w:rsidP="00431845">
      <w:pPr>
        <w:numPr>
          <w:ilvl w:val="0"/>
          <w:numId w:val="2"/>
        </w:numPr>
        <w:spacing w:line="360" w:lineRule="auto"/>
        <w:ind w:hanging="720"/>
        <w:rPr>
          <w:sz w:val="24"/>
          <w:szCs w:val="24"/>
        </w:rPr>
      </w:pPr>
      <w:r w:rsidRPr="00431845">
        <w:rPr>
          <w:sz w:val="24"/>
          <w:szCs w:val="24"/>
        </w:rPr>
        <w:t>The legal and financial status of the partner</w:t>
      </w:r>
    </w:p>
    <w:p w14:paraId="6C04CECB" w14:textId="77777777" w:rsidR="00D771C9" w:rsidRPr="00431845" w:rsidRDefault="00D771C9" w:rsidP="00431845">
      <w:pPr>
        <w:numPr>
          <w:ilvl w:val="0"/>
          <w:numId w:val="2"/>
        </w:numPr>
        <w:spacing w:line="360" w:lineRule="auto"/>
        <w:ind w:hanging="720"/>
        <w:rPr>
          <w:sz w:val="24"/>
          <w:szCs w:val="24"/>
        </w:rPr>
      </w:pPr>
      <w:r w:rsidRPr="00431845">
        <w:rPr>
          <w:sz w:val="24"/>
          <w:szCs w:val="24"/>
        </w:rPr>
        <w:t>The reputation and academic standing of the partner</w:t>
      </w:r>
    </w:p>
    <w:p w14:paraId="0F7E26E7" w14:textId="77777777" w:rsidR="00D771C9" w:rsidRPr="00431845" w:rsidRDefault="00D771C9" w:rsidP="00431845">
      <w:pPr>
        <w:numPr>
          <w:ilvl w:val="0"/>
          <w:numId w:val="2"/>
        </w:numPr>
        <w:spacing w:line="360" w:lineRule="auto"/>
        <w:ind w:hanging="720"/>
        <w:rPr>
          <w:sz w:val="24"/>
          <w:szCs w:val="24"/>
        </w:rPr>
      </w:pPr>
      <w:r w:rsidRPr="00431845">
        <w:rPr>
          <w:sz w:val="24"/>
          <w:szCs w:val="24"/>
        </w:rPr>
        <w:t xml:space="preserve">The ability and capacity of the partner to deliver on the proposed partnership, in terms of staffing, resources and access to learning opportunities.  </w:t>
      </w:r>
    </w:p>
    <w:p w14:paraId="75A727C8" w14:textId="77777777" w:rsidR="00D771C9" w:rsidRPr="00431845" w:rsidRDefault="00D771C9" w:rsidP="00431845">
      <w:pPr>
        <w:tabs>
          <w:tab w:val="left" w:pos="709"/>
        </w:tabs>
        <w:spacing w:line="360" w:lineRule="auto"/>
        <w:ind w:left="2138"/>
        <w:rPr>
          <w:sz w:val="24"/>
          <w:szCs w:val="24"/>
        </w:rPr>
      </w:pPr>
    </w:p>
    <w:p w14:paraId="28AE28E1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(c)</w:t>
      </w:r>
      <w:r w:rsidRPr="00431845">
        <w:rPr>
          <w:sz w:val="24"/>
          <w:szCs w:val="24"/>
        </w:rPr>
        <w:tab/>
        <w:t>The Validation Panel should ensure that the collaborative organization is fully cognisant of the University’s policies, procedures and mission and that differing cultural expectations are taken into account where necessary.</w:t>
      </w:r>
    </w:p>
    <w:p w14:paraId="3C631814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409F9706" w14:textId="77777777" w:rsidR="00956886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 w:rsidRPr="00431845">
        <w:rPr>
          <w:sz w:val="24"/>
          <w:szCs w:val="24"/>
        </w:rPr>
        <w:tab/>
        <w:t>(d)</w:t>
      </w:r>
      <w:r w:rsidRPr="00431845">
        <w:rPr>
          <w:sz w:val="24"/>
          <w:szCs w:val="24"/>
        </w:rPr>
        <w:tab/>
        <w:t xml:space="preserve">The Validation Panel needs to ensure that the proposed or existing collaborative arrangement meets the requirements of the </w:t>
      </w:r>
      <w:r w:rsidR="009A1D36" w:rsidRPr="00431845">
        <w:rPr>
          <w:sz w:val="24"/>
          <w:szCs w:val="24"/>
        </w:rPr>
        <w:t>UK Quality Code</w:t>
      </w:r>
      <w:r w:rsidR="009F4409" w:rsidRPr="00431845">
        <w:rPr>
          <w:sz w:val="24"/>
          <w:szCs w:val="24"/>
        </w:rPr>
        <w:t xml:space="preserve"> (</w:t>
      </w:r>
      <w:hyperlink r:id="rId10" w:history="1">
        <w:r w:rsidR="009F4409" w:rsidRPr="00431845">
          <w:rPr>
            <w:rStyle w:val="Hyperlink"/>
            <w:sz w:val="24"/>
            <w:szCs w:val="24"/>
          </w:rPr>
          <w:t>https://www.qaa.ac.uk/quality-code</w:t>
        </w:r>
      </w:hyperlink>
      <w:r w:rsidR="009F4409" w:rsidRPr="00431845">
        <w:rPr>
          <w:sz w:val="24"/>
          <w:szCs w:val="24"/>
        </w:rPr>
        <w:t xml:space="preserve">), </w:t>
      </w:r>
      <w:r w:rsidR="009A1D36" w:rsidRPr="00431845">
        <w:rPr>
          <w:sz w:val="24"/>
          <w:szCs w:val="24"/>
        </w:rPr>
        <w:t xml:space="preserve">taking cognisance of </w:t>
      </w:r>
      <w:r w:rsidR="009F4409" w:rsidRPr="00431845">
        <w:rPr>
          <w:sz w:val="24"/>
          <w:szCs w:val="24"/>
        </w:rPr>
        <w:t xml:space="preserve">associated </w:t>
      </w:r>
      <w:r w:rsidR="009A1D36" w:rsidRPr="00431845">
        <w:rPr>
          <w:sz w:val="24"/>
          <w:szCs w:val="24"/>
        </w:rPr>
        <w:t>advice and guidance</w:t>
      </w:r>
      <w:r w:rsidR="009F4409" w:rsidRPr="00431845">
        <w:rPr>
          <w:sz w:val="24"/>
          <w:szCs w:val="24"/>
        </w:rPr>
        <w:t xml:space="preserve">, in particular that relating to Partnerships </w:t>
      </w:r>
      <w:r w:rsidR="005512F3" w:rsidRPr="00431845">
        <w:rPr>
          <w:sz w:val="24"/>
          <w:szCs w:val="24"/>
        </w:rPr>
        <w:t>(</w:t>
      </w:r>
      <w:hyperlink r:id="rId11" w:history="1">
        <w:r w:rsidR="00956886" w:rsidRPr="00431845">
          <w:rPr>
            <w:rStyle w:val="Hyperlink"/>
            <w:sz w:val="24"/>
            <w:szCs w:val="24"/>
          </w:rPr>
          <w:t>https://www.qaa.ac.uk/en/quality-code/advice-and-guidance/partnerships</w:t>
        </w:r>
      </w:hyperlink>
      <w:r w:rsidR="005512F3" w:rsidRPr="00431845">
        <w:rPr>
          <w:rStyle w:val="Hyperlink"/>
          <w:sz w:val="24"/>
          <w:szCs w:val="24"/>
        </w:rPr>
        <w:t>).</w:t>
      </w:r>
    </w:p>
    <w:p w14:paraId="4571A044" w14:textId="77777777" w:rsidR="00956886" w:rsidRPr="00431845" w:rsidRDefault="00956886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331E1770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(e)</w:t>
      </w:r>
      <w:r w:rsidRPr="00431845">
        <w:rPr>
          <w:sz w:val="24"/>
          <w:szCs w:val="24"/>
        </w:rPr>
        <w:tab/>
        <w:t>The Validation Panel must ensure that the arrangement will meet the requirement of students for personal and intellectual development and as a preparation for or furthering of careers.</w:t>
      </w:r>
    </w:p>
    <w:p w14:paraId="2475E926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5A7E18E4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  <w:u w:val="single"/>
        </w:rPr>
      </w:pPr>
      <w:r w:rsidRPr="00431845">
        <w:rPr>
          <w:sz w:val="24"/>
          <w:szCs w:val="24"/>
        </w:rPr>
        <w:t>3.</w:t>
      </w:r>
      <w:r w:rsidRPr="00431845">
        <w:rPr>
          <w:sz w:val="24"/>
          <w:szCs w:val="24"/>
        </w:rPr>
        <w:tab/>
      </w:r>
      <w:r w:rsidRPr="00431845">
        <w:rPr>
          <w:sz w:val="24"/>
          <w:szCs w:val="24"/>
          <w:u w:val="single"/>
        </w:rPr>
        <w:t>The Institution</w:t>
      </w:r>
    </w:p>
    <w:p w14:paraId="328DC49C" w14:textId="77777777" w:rsidR="003C6154" w:rsidRPr="00431845" w:rsidRDefault="003C6154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  <w:u w:val="single"/>
        </w:rPr>
      </w:pPr>
    </w:p>
    <w:p w14:paraId="03BC7017" w14:textId="77777777" w:rsidR="00D771C9" w:rsidRPr="00431845" w:rsidRDefault="00D771C9" w:rsidP="00431845">
      <w:pPr>
        <w:spacing w:line="360" w:lineRule="auto"/>
        <w:ind w:left="709" w:hanging="709"/>
        <w:rPr>
          <w:sz w:val="24"/>
          <w:szCs w:val="24"/>
        </w:rPr>
      </w:pPr>
      <w:r w:rsidRPr="00431845">
        <w:rPr>
          <w:sz w:val="24"/>
          <w:szCs w:val="24"/>
        </w:rPr>
        <w:tab/>
        <w:t>The Panel should assess the appropriateness of the proposed partner taking into consideration the following:</w:t>
      </w:r>
    </w:p>
    <w:p w14:paraId="6F24C68B" w14:textId="77777777" w:rsidR="00D771C9" w:rsidRPr="00431845" w:rsidRDefault="00D771C9" w:rsidP="00431845">
      <w:pPr>
        <w:spacing w:line="360" w:lineRule="auto"/>
        <w:ind w:left="709" w:hanging="709"/>
        <w:rPr>
          <w:sz w:val="24"/>
          <w:szCs w:val="24"/>
        </w:rPr>
      </w:pPr>
    </w:p>
    <w:p w14:paraId="70E1B86E" w14:textId="77777777" w:rsidR="00D771C9" w:rsidRPr="00431845" w:rsidRDefault="00D771C9" w:rsidP="00431845">
      <w:pPr>
        <w:numPr>
          <w:ilvl w:val="0"/>
          <w:numId w:val="1"/>
        </w:numPr>
        <w:tabs>
          <w:tab w:val="clear" w:pos="720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Whether the collaborative organisation is of good standing; whether it has a secure medium term future; whether it is financially sound.</w:t>
      </w:r>
    </w:p>
    <w:p w14:paraId="1E6D5092" w14:textId="77777777" w:rsidR="00D771C9" w:rsidRPr="00431845" w:rsidRDefault="00D771C9" w:rsidP="00431845">
      <w:pPr>
        <w:numPr>
          <w:ilvl w:val="0"/>
          <w:numId w:val="1"/>
        </w:numPr>
        <w:tabs>
          <w:tab w:val="clear" w:pos="720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Whether the collaborative organisation has an effective framework for the management of Higher Education programmes, especially in relation to quality assurance.</w:t>
      </w:r>
    </w:p>
    <w:p w14:paraId="62B8A736" w14:textId="77777777" w:rsidR="00D771C9" w:rsidRPr="00431845" w:rsidRDefault="00D771C9" w:rsidP="00431845">
      <w:pPr>
        <w:numPr>
          <w:ilvl w:val="0"/>
          <w:numId w:val="1"/>
        </w:numPr>
        <w:tabs>
          <w:tab w:val="clear" w:pos="720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Whether the staffing establishment is appropriate both across the collaborative organisation as a whole and for the programme(s) under consideration and if there is an effective Staff Development programme in place.</w:t>
      </w:r>
    </w:p>
    <w:p w14:paraId="60F3A8F8" w14:textId="77777777" w:rsidR="00D771C9" w:rsidRPr="00431845" w:rsidRDefault="00D771C9" w:rsidP="00431845">
      <w:pPr>
        <w:numPr>
          <w:ilvl w:val="0"/>
          <w:numId w:val="1"/>
        </w:numPr>
        <w:tabs>
          <w:tab w:val="clear" w:pos="720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Whether it has experience of delivering comparable programmes at a similar level.</w:t>
      </w:r>
    </w:p>
    <w:p w14:paraId="7EA61093" w14:textId="77777777" w:rsidR="00D771C9" w:rsidRPr="00431845" w:rsidRDefault="00D771C9" w:rsidP="00431845">
      <w:pPr>
        <w:numPr>
          <w:ilvl w:val="0"/>
          <w:numId w:val="1"/>
        </w:numPr>
        <w:tabs>
          <w:tab w:val="clear" w:pos="720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Whether physical resources are appropriate and an appropriate learning environment is provided for students.</w:t>
      </w:r>
    </w:p>
    <w:p w14:paraId="43D6D97A" w14:textId="77777777" w:rsidR="00D771C9" w:rsidRPr="00431845" w:rsidRDefault="00D771C9" w:rsidP="00431845">
      <w:pPr>
        <w:numPr>
          <w:ilvl w:val="0"/>
          <w:numId w:val="1"/>
        </w:numPr>
        <w:tabs>
          <w:tab w:val="clear" w:pos="720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>Whether there is adequate provision for academic and pastoral support and guidance.</w:t>
      </w:r>
    </w:p>
    <w:p w14:paraId="246203C0" w14:textId="77777777" w:rsidR="00D771C9" w:rsidRPr="00431845" w:rsidRDefault="00D771C9" w:rsidP="00431845">
      <w:pPr>
        <w:numPr>
          <w:ilvl w:val="0"/>
          <w:numId w:val="1"/>
        </w:numPr>
        <w:tabs>
          <w:tab w:val="clear" w:pos="720"/>
        </w:tabs>
        <w:spacing w:line="360" w:lineRule="auto"/>
        <w:ind w:left="1418" w:hanging="709"/>
        <w:rPr>
          <w:sz w:val="24"/>
          <w:szCs w:val="24"/>
        </w:rPr>
      </w:pPr>
      <w:r w:rsidRPr="00431845">
        <w:rPr>
          <w:sz w:val="24"/>
          <w:szCs w:val="24"/>
        </w:rPr>
        <w:t xml:space="preserve">Whether it has, or has had, collaborative relationships with other institutions and whether any awarding institution has withdrawn from a </w:t>
      </w:r>
      <w:r w:rsidRPr="00431845">
        <w:rPr>
          <w:sz w:val="24"/>
          <w:szCs w:val="24"/>
        </w:rPr>
        <w:lastRenderedPageBreak/>
        <w:t>collaborative programme with the prospective collaborative organisation.</w:t>
      </w:r>
    </w:p>
    <w:p w14:paraId="5F369BD7" w14:textId="77777777" w:rsidR="00D771C9" w:rsidRPr="00431845" w:rsidRDefault="00D771C9" w:rsidP="00431845">
      <w:pPr>
        <w:spacing w:line="360" w:lineRule="auto"/>
        <w:ind w:left="709"/>
        <w:rPr>
          <w:sz w:val="24"/>
          <w:szCs w:val="24"/>
        </w:rPr>
      </w:pPr>
    </w:p>
    <w:p w14:paraId="4D055EB2" w14:textId="77777777" w:rsidR="00D771C9" w:rsidRPr="00431845" w:rsidRDefault="00D771C9" w:rsidP="00431845">
      <w:pPr>
        <w:tabs>
          <w:tab w:val="left" w:pos="709"/>
        </w:tabs>
        <w:spacing w:line="360" w:lineRule="auto"/>
        <w:rPr>
          <w:sz w:val="24"/>
          <w:szCs w:val="24"/>
        </w:rPr>
      </w:pPr>
      <w:r w:rsidRPr="00431845">
        <w:rPr>
          <w:sz w:val="24"/>
          <w:szCs w:val="24"/>
        </w:rPr>
        <w:t>3.</w:t>
      </w:r>
      <w:r w:rsidRPr="00431845">
        <w:rPr>
          <w:sz w:val="24"/>
          <w:szCs w:val="24"/>
        </w:rPr>
        <w:tab/>
      </w:r>
      <w:r w:rsidRPr="00431845">
        <w:rPr>
          <w:sz w:val="24"/>
          <w:szCs w:val="24"/>
          <w:u w:val="single"/>
        </w:rPr>
        <w:t>The Programme</w:t>
      </w:r>
    </w:p>
    <w:p w14:paraId="620EB977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40" w:hanging="1440"/>
        <w:rPr>
          <w:sz w:val="24"/>
          <w:szCs w:val="24"/>
        </w:rPr>
      </w:pPr>
    </w:p>
    <w:p w14:paraId="69EDEC29" w14:textId="2A74D6D5" w:rsidR="00D771C9" w:rsidRPr="00431845" w:rsidRDefault="00D771C9" w:rsidP="00431845">
      <w:pPr>
        <w:tabs>
          <w:tab w:val="left" w:pos="709"/>
        </w:tabs>
        <w:spacing w:line="360" w:lineRule="auto"/>
        <w:ind w:left="1440" w:hanging="1440"/>
        <w:rPr>
          <w:sz w:val="24"/>
          <w:szCs w:val="24"/>
        </w:rPr>
      </w:pPr>
      <w:r w:rsidRPr="00431845">
        <w:rPr>
          <w:sz w:val="24"/>
          <w:szCs w:val="24"/>
        </w:rPr>
        <w:tab/>
        <w:t xml:space="preserve">It would assist </w:t>
      </w:r>
      <w:r w:rsidR="007D7356">
        <w:rPr>
          <w:sz w:val="24"/>
          <w:szCs w:val="24"/>
        </w:rPr>
        <w:t>ECQS</w:t>
      </w:r>
      <w:r w:rsidRPr="00431845">
        <w:rPr>
          <w:sz w:val="24"/>
          <w:szCs w:val="24"/>
        </w:rPr>
        <w:t xml:space="preserve"> to have views on the following:</w:t>
      </w:r>
    </w:p>
    <w:p w14:paraId="6789CA3E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40" w:hanging="1440"/>
        <w:rPr>
          <w:sz w:val="24"/>
          <w:szCs w:val="24"/>
        </w:rPr>
      </w:pPr>
    </w:p>
    <w:p w14:paraId="2C209533" w14:textId="7E4880CD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 w:rsidRPr="00431845">
        <w:rPr>
          <w:sz w:val="24"/>
          <w:szCs w:val="24"/>
        </w:rPr>
        <w:tab/>
        <w:t xml:space="preserve">(a) </w:t>
      </w:r>
      <w:r w:rsidRPr="00431845">
        <w:rPr>
          <w:sz w:val="24"/>
          <w:szCs w:val="24"/>
        </w:rPr>
        <w:tab/>
      </w:r>
      <w:r w:rsidR="00431845">
        <w:rPr>
          <w:sz w:val="24"/>
          <w:szCs w:val="24"/>
        </w:rPr>
        <w:t>T</w:t>
      </w:r>
      <w:r w:rsidRPr="00431845">
        <w:rPr>
          <w:sz w:val="24"/>
          <w:szCs w:val="24"/>
        </w:rPr>
        <w:t>he appropriateness of the particular learning outcomes of the programme within the overall objectives of the institution and the University.</w:t>
      </w:r>
    </w:p>
    <w:p w14:paraId="790895D9" w14:textId="77777777" w:rsidR="00D771C9" w:rsidRPr="00431845" w:rsidRDefault="00D771C9" w:rsidP="00431845">
      <w:pPr>
        <w:spacing w:line="360" w:lineRule="auto"/>
        <w:ind w:left="1080" w:hanging="360"/>
        <w:rPr>
          <w:sz w:val="24"/>
          <w:szCs w:val="24"/>
        </w:rPr>
      </w:pPr>
    </w:p>
    <w:p w14:paraId="59699B3E" w14:textId="7E2ECE90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 w:rsidRPr="00431845">
        <w:rPr>
          <w:sz w:val="24"/>
          <w:szCs w:val="24"/>
        </w:rPr>
        <w:tab/>
        <w:t>(b)</w:t>
      </w:r>
      <w:r w:rsidRPr="00431845">
        <w:rPr>
          <w:sz w:val="24"/>
          <w:szCs w:val="24"/>
        </w:rPr>
        <w:tab/>
      </w:r>
      <w:r w:rsidR="00431845">
        <w:rPr>
          <w:sz w:val="24"/>
          <w:szCs w:val="24"/>
        </w:rPr>
        <w:t>T</w:t>
      </w:r>
      <w:r w:rsidRPr="00431845">
        <w:rPr>
          <w:sz w:val="24"/>
          <w:szCs w:val="24"/>
        </w:rPr>
        <w:t>he standards set for the programme with regard to the following:</w:t>
      </w:r>
    </w:p>
    <w:p w14:paraId="43758BA4" w14:textId="77777777" w:rsidR="00D771C9" w:rsidRPr="00431845" w:rsidRDefault="00D771C9" w:rsidP="00431845">
      <w:pPr>
        <w:tabs>
          <w:tab w:val="left" w:pos="709"/>
        </w:tabs>
        <w:spacing w:line="360" w:lineRule="auto"/>
        <w:rPr>
          <w:sz w:val="24"/>
          <w:szCs w:val="24"/>
        </w:rPr>
      </w:pPr>
    </w:p>
    <w:p w14:paraId="0F7ADE8F" w14:textId="0703A677" w:rsidR="00D771C9" w:rsidRPr="00431845" w:rsidRDefault="00D771C9" w:rsidP="00431845">
      <w:pPr>
        <w:tabs>
          <w:tab w:val="left" w:pos="1418"/>
        </w:tabs>
        <w:spacing w:line="360" w:lineRule="auto"/>
        <w:ind w:left="2160" w:hanging="720"/>
        <w:rPr>
          <w:sz w:val="24"/>
          <w:szCs w:val="24"/>
        </w:rPr>
      </w:pPr>
      <w:r w:rsidRPr="00431845">
        <w:rPr>
          <w:sz w:val="24"/>
          <w:szCs w:val="24"/>
        </w:rPr>
        <w:t>(i)</w:t>
      </w:r>
      <w:r w:rsidRPr="00431845">
        <w:rPr>
          <w:sz w:val="24"/>
          <w:szCs w:val="24"/>
        </w:rPr>
        <w:tab/>
      </w:r>
      <w:r w:rsidR="00431845">
        <w:rPr>
          <w:sz w:val="24"/>
          <w:szCs w:val="24"/>
        </w:rPr>
        <w:t>T</w:t>
      </w:r>
      <w:r w:rsidRPr="00431845">
        <w:rPr>
          <w:sz w:val="24"/>
          <w:szCs w:val="24"/>
        </w:rPr>
        <w:t>he admission requirements and procedures in relation to the programme and its objectives;</w:t>
      </w:r>
    </w:p>
    <w:p w14:paraId="77B8CE77" w14:textId="77777777" w:rsidR="00D771C9" w:rsidRPr="00431845" w:rsidRDefault="00D771C9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</w:p>
    <w:p w14:paraId="07D5A61E" w14:textId="168FE31B" w:rsidR="00D771C9" w:rsidRPr="00431845" w:rsidRDefault="00431845" w:rsidP="00431845">
      <w:pPr>
        <w:pStyle w:val="BodyTextIndent2"/>
        <w:spacing w:line="36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(ii)</w:t>
      </w:r>
      <w:r>
        <w:rPr>
          <w:rFonts w:cs="Arial"/>
          <w:sz w:val="24"/>
        </w:rPr>
        <w:tab/>
        <w:t>T</w:t>
      </w:r>
      <w:r w:rsidR="00D771C9" w:rsidRPr="00431845">
        <w:rPr>
          <w:rFonts w:cs="Arial"/>
          <w:sz w:val="24"/>
        </w:rPr>
        <w:t>he structure of the programme, including its academic progression and internal coherence, and its compatibility with the principles incorporated in the overall framework of the University and its system of awards;</w:t>
      </w:r>
    </w:p>
    <w:p w14:paraId="2A527C2E" w14:textId="77777777" w:rsidR="00D771C9" w:rsidRPr="00431845" w:rsidRDefault="00D771C9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</w:p>
    <w:p w14:paraId="3972BBCA" w14:textId="4423732A" w:rsidR="00D771C9" w:rsidRPr="00431845" w:rsidRDefault="00431845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(iii)</w:t>
      </w:r>
      <w:r>
        <w:rPr>
          <w:sz w:val="24"/>
          <w:szCs w:val="24"/>
        </w:rPr>
        <w:tab/>
        <w:t>T</w:t>
      </w:r>
      <w:r w:rsidR="00D771C9" w:rsidRPr="00431845">
        <w:rPr>
          <w:sz w:val="24"/>
          <w:szCs w:val="24"/>
        </w:rPr>
        <w:t xml:space="preserve">he relevance and currency of the syllabuses and learning outcomes for the different components of the programme and the extent of consultation with industry, commerce and professions or other interested bodies; </w:t>
      </w:r>
    </w:p>
    <w:p w14:paraId="019B0E60" w14:textId="77777777" w:rsidR="00D771C9" w:rsidRPr="00431845" w:rsidRDefault="00D771C9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</w:p>
    <w:p w14:paraId="3483321F" w14:textId="6D91DC70" w:rsidR="00D771C9" w:rsidRPr="00431845" w:rsidRDefault="00431845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(iv)</w:t>
      </w:r>
      <w:r>
        <w:rPr>
          <w:sz w:val="24"/>
          <w:szCs w:val="24"/>
        </w:rPr>
        <w:tab/>
        <w:t>T</w:t>
      </w:r>
      <w:r w:rsidR="00D771C9" w:rsidRPr="00431845">
        <w:rPr>
          <w:sz w:val="24"/>
          <w:szCs w:val="24"/>
        </w:rPr>
        <w:t>he forms and quality of the teaching and learning processes, including group work and independent learning, which are to be offered to the students; and</w:t>
      </w:r>
    </w:p>
    <w:p w14:paraId="2826A069" w14:textId="77777777" w:rsidR="00D771C9" w:rsidRPr="00431845" w:rsidRDefault="00D771C9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</w:p>
    <w:p w14:paraId="6CE4B69E" w14:textId="6DE18D83" w:rsidR="00D771C9" w:rsidRPr="00431845" w:rsidRDefault="00431845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(v)</w:t>
      </w:r>
      <w:r>
        <w:rPr>
          <w:sz w:val="24"/>
          <w:szCs w:val="24"/>
        </w:rPr>
        <w:tab/>
        <w:t>T</w:t>
      </w:r>
      <w:r w:rsidR="00D771C9" w:rsidRPr="00431845">
        <w:rPr>
          <w:sz w:val="24"/>
          <w:szCs w:val="24"/>
        </w:rPr>
        <w:t xml:space="preserve">he examination, assessment methods and feedback arrangements to students and their likely effectiveness as a learning aid and in revealing student achievement in relation to </w:t>
      </w:r>
      <w:r w:rsidR="00D771C9" w:rsidRPr="00431845">
        <w:rPr>
          <w:sz w:val="24"/>
          <w:szCs w:val="24"/>
        </w:rPr>
        <w:lastRenderedPageBreak/>
        <w:t>the programme and module aims and intended learning outcomes.</w:t>
      </w:r>
    </w:p>
    <w:p w14:paraId="1D3EC51F" w14:textId="77777777" w:rsidR="00D771C9" w:rsidRPr="00431845" w:rsidRDefault="00D771C9" w:rsidP="00431845">
      <w:pPr>
        <w:tabs>
          <w:tab w:val="left" w:pos="1418"/>
        </w:tabs>
        <w:spacing w:line="360" w:lineRule="auto"/>
        <w:ind w:left="2160" w:hanging="2160"/>
        <w:rPr>
          <w:sz w:val="24"/>
          <w:szCs w:val="24"/>
        </w:rPr>
      </w:pPr>
    </w:p>
    <w:p w14:paraId="0C1CFFEB" w14:textId="296A00C9" w:rsidR="00D771C9" w:rsidRPr="00431845" w:rsidRDefault="00431845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  <w:t>(c)</w:t>
      </w:r>
      <w:r>
        <w:rPr>
          <w:sz w:val="24"/>
          <w:szCs w:val="24"/>
        </w:rPr>
        <w:tab/>
        <w:t>T</w:t>
      </w:r>
      <w:r w:rsidR="00D771C9" w:rsidRPr="00431845">
        <w:rPr>
          <w:sz w:val="24"/>
          <w:szCs w:val="24"/>
        </w:rPr>
        <w:t>he staff resources available for the programme and their opportunities for development and their ability to work together constructively;</w:t>
      </w:r>
    </w:p>
    <w:p w14:paraId="4F92A30D" w14:textId="77777777" w:rsidR="00D771C9" w:rsidRPr="00431845" w:rsidRDefault="00D771C9" w:rsidP="00431845">
      <w:pPr>
        <w:tabs>
          <w:tab w:val="left" w:pos="1418"/>
        </w:tabs>
        <w:spacing w:line="360" w:lineRule="auto"/>
        <w:rPr>
          <w:sz w:val="24"/>
          <w:szCs w:val="24"/>
        </w:rPr>
      </w:pPr>
    </w:p>
    <w:p w14:paraId="47860AE8" w14:textId="778BF8EC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 w:rsidRPr="00431845">
        <w:rPr>
          <w:sz w:val="24"/>
          <w:szCs w:val="24"/>
        </w:rPr>
        <w:tab/>
        <w:t>(d)</w:t>
      </w:r>
      <w:r w:rsidRPr="00431845">
        <w:rPr>
          <w:sz w:val="24"/>
          <w:szCs w:val="24"/>
        </w:rPr>
        <w:tab/>
      </w:r>
      <w:r w:rsidR="00431845">
        <w:rPr>
          <w:sz w:val="24"/>
          <w:szCs w:val="24"/>
          <w:u w:val="single"/>
        </w:rPr>
        <w:t>F</w:t>
      </w:r>
      <w:r w:rsidRPr="00431845">
        <w:rPr>
          <w:sz w:val="24"/>
          <w:szCs w:val="24"/>
          <w:u w:val="single"/>
        </w:rPr>
        <w:t>or current programmes undergoing periodic review</w:t>
      </w:r>
      <w:r w:rsidRPr="00431845">
        <w:rPr>
          <w:sz w:val="24"/>
          <w:szCs w:val="24"/>
        </w:rPr>
        <w:t>, the programme committee’s critical appraisal of the operation of the programme during its period of approval, and the rationale for any proposed changes;</w:t>
      </w:r>
    </w:p>
    <w:p w14:paraId="7C5D304F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1E133239" w14:textId="61DC20C6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 w:rsidRPr="00431845">
        <w:rPr>
          <w:sz w:val="24"/>
          <w:szCs w:val="24"/>
        </w:rPr>
        <w:tab/>
        <w:t>(e)</w:t>
      </w:r>
      <w:r w:rsidRPr="00431845">
        <w:rPr>
          <w:sz w:val="24"/>
          <w:szCs w:val="24"/>
        </w:rPr>
        <w:tab/>
      </w:r>
      <w:r w:rsidR="00431845">
        <w:rPr>
          <w:sz w:val="24"/>
          <w:szCs w:val="24"/>
          <w:u w:val="single"/>
        </w:rPr>
        <w:t>F</w:t>
      </w:r>
      <w:r w:rsidRPr="00431845">
        <w:rPr>
          <w:sz w:val="24"/>
          <w:szCs w:val="24"/>
          <w:u w:val="single"/>
        </w:rPr>
        <w:t>or current programmes undergoing periodic review</w:t>
      </w:r>
      <w:r w:rsidRPr="00431845">
        <w:rPr>
          <w:sz w:val="24"/>
          <w:szCs w:val="24"/>
        </w:rPr>
        <w:t>, the performance of students on the programme, their subsequent career achievements, their views of the programme and other evidence, including reports from external examiners;</w:t>
      </w:r>
    </w:p>
    <w:p w14:paraId="617A815B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33C1794B" w14:textId="468033F3" w:rsidR="00D771C9" w:rsidRPr="00431845" w:rsidRDefault="00431845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  <w:t>(f)</w:t>
      </w:r>
      <w:r>
        <w:rPr>
          <w:sz w:val="24"/>
          <w:szCs w:val="24"/>
        </w:rPr>
        <w:tab/>
        <w:t>T</w:t>
      </w:r>
      <w:r w:rsidR="00D771C9" w:rsidRPr="00431845">
        <w:rPr>
          <w:sz w:val="24"/>
          <w:szCs w:val="24"/>
        </w:rPr>
        <w:t>he approach taken to address issues arising from quality assurance procedures (if appropriate);</w:t>
      </w:r>
    </w:p>
    <w:p w14:paraId="2057080B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45DC40A6" w14:textId="32B68AF7" w:rsidR="00D771C9" w:rsidRPr="00431845" w:rsidRDefault="00431845" w:rsidP="00431845">
      <w:pPr>
        <w:tabs>
          <w:tab w:val="left" w:pos="709"/>
        </w:tabs>
        <w:spacing w:line="360" w:lineRule="auto"/>
        <w:ind w:left="1418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(g)</w:t>
      </w:r>
      <w:r>
        <w:rPr>
          <w:sz w:val="24"/>
          <w:szCs w:val="24"/>
        </w:rPr>
        <w:tab/>
        <w:t>T</w:t>
      </w:r>
      <w:r w:rsidR="00D771C9" w:rsidRPr="00431845">
        <w:rPr>
          <w:sz w:val="24"/>
          <w:szCs w:val="24"/>
        </w:rPr>
        <w:t>he adequacy of the provision and deployment of other resources for the programme, including accommodation, library, laboratory and computing as may be relevant;</w:t>
      </w:r>
    </w:p>
    <w:p w14:paraId="2DA8F20E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455ABD15" w14:textId="43D2CB56" w:rsidR="00D771C9" w:rsidRPr="00431845" w:rsidRDefault="00431845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  <w:t>(h)</w:t>
      </w:r>
      <w:r>
        <w:rPr>
          <w:sz w:val="24"/>
          <w:szCs w:val="24"/>
        </w:rPr>
        <w:tab/>
        <w:t>T</w:t>
      </w:r>
      <w:r w:rsidR="00D771C9" w:rsidRPr="00431845">
        <w:rPr>
          <w:sz w:val="24"/>
          <w:szCs w:val="24"/>
        </w:rPr>
        <w:t>he conditions, if any, on which the programme is recommended for approval and the period of approval.</w:t>
      </w:r>
    </w:p>
    <w:p w14:paraId="451498BC" w14:textId="77777777" w:rsidR="00D771C9" w:rsidRPr="00431845" w:rsidRDefault="00D771C9" w:rsidP="00431845">
      <w:pPr>
        <w:tabs>
          <w:tab w:val="left" w:pos="709"/>
        </w:tabs>
        <w:spacing w:line="360" w:lineRule="auto"/>
        <w:ind w:left="1418" w:hanging="1418"/>
        <w:rPr>
          <w:sz w:val="24"/>
          <w:szCs w:val="24"/>
        </w:rPr>
      </w:pPr>
    </w:p>
    <w:p w14:paraId="4234306D" w14:textId="77777777" w:rsidR="007C1857" w:rsidRPr="00431845" w:rsidRDefault="00DF2B93" w:rsidP="00431845">
      <w:pPr>
        <w:spacing w:line="360" w:lineRule="auto"/>
        <w:rPr>
          <w:sz w:val="24"/>
          <w:szCs w:val="24"/>
        </w:rPr>
      </w:pPr>
      <w:r w:rsidRPr="00431845">
        <w:rPr>
          <w:sz w:val="24"/>
          <w:szCs w:val="24"/>
        </w:rPr>
        <w:t xml:space="preserve">Where the proposal involves the provision of joint supervision at PhD level, with students spending time off-campus with </w:t>
      </w:r>
      <w:r w:rsidR="007C1857" w:rsidRPr="00431845">
        <w:rPr>
          <w:sz w:val="24"/>
          <w:szCs w:val="24"/>
        </w:rPr>
        <w:t xml:space="preserve">the </w:t>
      </w:r>
      <w:r w:rsidRPr="00431845">
        <w:rPr>
          <w:sz w:val="24"/>
          <w:szCs w:val="24"/>
        </w:rPr>
        <w:t xml:space="preserve">partner (a collaborative research degree programme), </w:t>
      </w:r>
      <w:r w:rsidR="005512F3" w:rsidRPr="00431845">
        <w:rPr>
          <w:sz w:val="24"/>
          <w:szCs w:val="24"/>
        </w:rPr>
        <w:t xml:space="preserve">the Panel should </w:t>
      </w:r>
      <w:r w:rsidRPr="00431845">
        <w:rPr>
          <w:sz w:val="24"/>
          <w:szCs w:val="24"/>
        </w:rPr>
        <w:t xml:space="preserve">also seek to ensure </w:t>
      </w:r>
      <w:r w:rsidR="005512F3" w:rsidRPr="00431845">
        <w:rPr>
          <w:sz w:val="24"/>
          <w:szCs w:val="24"/>
        </w:rPr>
        <w:t xml:space="preserve">assurances that appropriate arrangements for support, supervision and training are </w:t>
      </w:r>
      <w:r w:rsidR="00B01D81" w:rsidRPr="00431845">
        <w:rPr>
          <w:sz w:val="24"/>
          <w:szCs w:val="24"/>
        </w:rPr>
        <w:t xml:space="preserve">available.  </w:t>
      </w:r>
      <w:r w:rsidR="007C1857" w:rsidRPr="00431845">
        <w:rPr>
          <w:sz w:val="24"/>
          <w:szCs w:val="24"/>
        </w:rPr>
        <w:t>In particular, the arrangement should enable compliance with the University’s Study Regulations for Research Degree Programmes and fulfilment of key expectations of the University’s Code of Practice for Research Degree Programmes.</w:t>
      </w:r>
    </w:p>
    <w:p w14:paraId="67328E0D" w14:textId="77777777" w:rsidR="007C1857" w:rsidRPr="00431845" w:rsidRDefault="007C1857" w:rsidP="00431845">
      <w:pPr>
        <w:spacing w:line="360" w:lineRule="auto"/>
        <w:rPr>
          <w:sz w:val="24"/>
          <w:szCs w:val="24"/>
        </w:rPr>
      </w:pPr>
    </w:p>
    <w:p w14:paraId="19807B5E" w14:textId="77777777" w:rsidR="007C1857" w:rsidRPr="00431845" w:rsidRDefault="007C1857" w:rsidP="00431845">
      <w:pPr>
        <w:spacing w:line="360" w:lineRule="auto"/>
        <w:rPr>
          <w:sz w:val="24"/>
          <w:szCs w:val="24"/>
        </w:rPr>
      </w:pPr>
      <w:r w:rsidRPr="00431845">
        <w:rPr>
          <w:sz w:val="24"/>
          <w:szCs w:val="24"/>
        </w:rPr>
        <w:t>A copy of the Regulations are available on:</w:t>
      </w:r>
    </w:p>
    <w:p w14:paraId="7109752D" w14:textId="77777777" w:rsidR="007C1857" w:rsidRPr="00431845" w:rsidRDefault="007C1857" w:rsidP="00431845">
      <w:pPr>
        <w:spacing w:line="360" w:lineRule="auto"/>
        <w:rPr>
          <w:sz w:val="24"/>
          <w:szCs w:val="24"/>
        </w:rPr>
      </w:pPr>
      <w:hyperlink r:id="rId12" w:history="1">
        <w:r w:rsidRPr="00431845">
          <w:rPr>
            <w:rStyle w:val="Hyperlink"/>
            <w:sz w:val="24"/>
            <w:szCs w:val="24"/>
          </w:rPr>
          <w:t>https://www.qub.ac.uk/dasa/AcademicAffairs/GeneralRegulations/StudyRegulations/StudyRegulationsforResearchDegreeProgrammes</w:t>
        </w:r>
      </w:hyperlink>
      <w:r w:rsidRPr="00431845">
        <w:rPr>
          <w:sz w:val="24"/>
          <w:szCs w:val="24"/>
        </w:rPr>
        <w:t xml:space="preserve"> </w:t>
      </w:r>
    </w:p>
    <w:p w14:paraId="12E129C0" w14:textId="77777777" w:rsidR="007C1857" w:rsidRPr="00431845" w:rsidRDefault="007C1857" w:rsidP="00431845">
      <w:pPr>
        <w:spacing w:line="360" w:lineRule="auto"/>
        <w:rPr>
          <w:sz w:val="24"/>
          <w:szCs w:val="24"/>
        </w:rPr>
      </w:pPr>
    </w:p>
    <w:p w14:paraId="630B5B87" w14:textId="77777777" w:rsidR="007C1857" w:rsidRPr="00431845" w:rsidRDefault="007C1857" w:rsidP="00431845">
      <w:pPr>
        <w:spacing w:line="360" w:lineRule="auto"/>
        <w:rPr>
          <w:sz w:val="24"/>
          <w:szCs w:val="24"/>
        </w:rPr>
      </w:pPr>
      <w:r w:rsidRPr="00431845">
        <w:rPr>
          <w:sz w:val="24"/>
          <w:szCs w:val="24"/>
        </w:rPr>
        <w:t>The Code of Practice can be accessed on:</w:t>
      </w:r>
    </w:p>
    <w:p w14:paraId="45C32D66" w14:textId="77777777" w:rsidR="007C1857" w:rsidRPr="00431845" w:rsidRDefault="007C1857" w:rsidP="00431845">
      <w:pPr>
        <w:spacing w:line="360" w:lineRule="auto"/>
        <w:rPr>
          <w:sz w:val="24"/>
          <w:szCs w:val="24"/>
        </w:rPr>
      </w:pPr>
    </w:p>
    <w:p w14:paraId="6BB17659" w14:textId="77777777" w:rsidR="007C1857" w:rsidRPr="00431845" w:rsidRDefault="007C1857" w:rsidP="00431845">
      <w:pPr>
        <w:spacing w:line="360" w:lineRule="auto"/>
        <w:rPr>
          <w:rStyle w:val="Hyperlink"/>
          <w:sz w:val="24"/>
          <w:szCs w:val="24"/>
        </w:rPr>
      </w:pPr>
      <w:hyperlink r:id="rId13" w:history="1">
        <w:r w:rsidRPr="00431845">
          <w:rPr>
            <w:rStyle w:val="Hyperlink"/>
            <w:sz w:val="24"/>
            <w:szCs w:val="24"/>
          </w:rPr>
          <w:t>https://www.qub.ac.uk/dasa/AcademicAffairs/ResearchDegreeProgrammes</w:t>
        </w:r>
      </w:hyperlink>
    </w:p>
    <w:p w14:paraId="12161B70" w14:textId="77777777" w:rsidR="007C1857" w:rsidRPr="00431845" w:rsidRDefault="007C1857" w:rsidP="00431845">
      <w:pPr>
        <w:spacing w:line="360" w:lineRule="auto"/>
        <w:rPr>
          <w:sz w:val="24"/>
          <w:szCs w:val="24"/>
        </w:rPr>
      </w:pPr>
    </w:p>
    <w:p w14:paraId="752748C3" w14:textId="77777777" w:rsidR="001B48F1" w:rsidRPr="00431845" w:rsidRDefault="001B48F1" w:rsidP="00431845">
      <w:pPr>
        <w:spacing w:line="360" w:lineRule="auto"/>
        <w:rPr>
          <w:sz w:val="24"/>
          <w:szCs w:val="24"/>
        </w:rPr>
      </w:pPr>
    </w:p>
    <w:p w14:paraId="7F1F6011" w14:textId="370D9943" w:rsidR="001B48F1" w:rsidRPr="00431845" w:rsidRDefault="007D7356" w:rsidP="004318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Pr="00431845">
        <w:rPr>
          <w:sz w:val="24"/>
          <w:szCs w:val="24"/>
        </w:rPr>
        <w:t>202</w:t>
      </w:r>
      <w:r>
        <w:rPr>
          <w:sz w:val="24"/>
          <w:szCs w:val="24"/>
        </w:rPr>
        <w:t>1</w:t>
      </w:r>
    </w:p>
    <w:sectPr w:rsidR="001B48F1" w:rsidRPr="00431845" w:rsidSect="001B48F1">
      <w:head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6206" w14:textId="77777777" w:rsidR="00F61208" w:rsidRDefault="00F61208" w:rsidP="003C6154">
      <w:r>
        <w:separator/>
      </w:r>
    </w:p>
  </w:endnote>
  <w:endnote w:type="continuationSeparator" w:id="0">
    <w:p w14:paraId="00D09A83" w14:textId="77777777" w:rsidR="00F61208" w:rsidRDefault="00F61208" w:rsidP="003C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0319" w14:textId="77777777" w:rsidR="00F61208" w:rsidRDefault="00F61208" w:rsidP="003C6154">
      <w:r>
        <w:separator/>
      </w:r>
    </w:p>
  </w:footnote>
  <w:footnote w:type="continuationSeparator" w:id="0">
    <w:p w14:paraId="232E1157" w14:textId="77777777" w:rsidR="00F61208" w:rsidRDefault="00F61208" w:rsidP="003C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978404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2B2059DB" w14:textId="35E95F36" w:rsidR="003C6154" w:rsidRPr="003C6154" w:rsidRDefault="003C6154">
        <w:pPr>
          <w:pStyle w:val="Header"/>
          <w:jc w:val="center"/>
          <w:rPr>
            <w:sz w:val="20"/>
          </w:rPr>
        </w:pPr>
        <w:r w:rsidRPr="003C6154">
          <w:rPr>
            <w:sz w:val="20"/>
          </w:rPr>
          <w:fldChar w:fldCharType="begin"/>
        </w:r>
        <w:r w:rsidRPr="003C6154">
          <w:rPr>
            <w:sz w:val="20"/>
          </w:rPr>
          <w:instrText xml:space="preserve"> PAGE   \* MERGEFORMAT </w:instrText>
        </w:r>
        <w:r w:rsidRPr="003C6154">
          <w:rPr>
            <w:sz w:val="20"/>
          </w:rPr>
          <w:fldChar w:fldCharType="separate"/>
        </w:r>
        <w:r w:rsidR="007D7356">
          <w:rPr>
            <w:noProof/>
            <w:sz w:val="20"/>
          </w:rPr>
          <w:t>5</w:t>
        </w:r>
        <w:r w:rsidRPr="003C6154">
          <w:rPr>
            <w:noProof/>
            <w:sz w:val="20"/>
          </w:rPr>
          <w:fldChar w:fldCharType="end"/>
        </w:r>
      </w:p>
    </w:sdtContent>
  </w:sdt>
  <w:p w14:paraId="1323F35D" w14:textId="77777777" w:rsidR="003C6154" w:rsidRDefault="003C6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31FC" w14:textId="6BC2D961" w:rsidR="003C6154" w:rsidRDefault="003F3BEA" w:rsidP="003C6154">
    <w:pPr>
      <w:pStyle w:val="Header"/>
      <w:jc w:val="right"/>
    </w:pPr>
    <w:r>
      <w:t>Appendix 1</w:t>
    </w:r>
    <w:r w:rsidR="00D51C6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A15CF"/>
    <w:multiLevelType w:val="multilevel"/>
    <w:tmpl w:val="7A048F5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3787E"/>
    <w:multiLevelType w:val="hybridMultilevel"/>
    <w:tmpl w:val="848A0AD4"/>
    <w:lvl w:ilvl="0" w:tplc="6D70BAF6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0608455">
    <w:abstractNumId w:val="0"/>
  </w:num>
  <w:num w:numId="2" w16cid:durableId="25220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C9"/>
    <w:rsid w:val="001B48F1"/>
    <w:rsid w:val="00210DC3"/>
    <w:rsid w:val="003C6154"/>
    <w:rsid w:val="003E1FE8"/>
    <w:rsid w:val="003F3BEA"/>
    <w:rsid w:val="00431845"/>
    <w:rsid w:val="00456DBF"/>
    <w:rsid w:val="00460748"/>
    <w:rsid w:val="005512F3"/>
    <w:rsid w:val="007C1857"/>
    <w:rsid w:val="007D7356"/>
    <w:rsid w:val="007E16C5"/>
    <w:rsid w:val="008C520B"/>
    <w:rsid w:val="00924140"/>
    <w:rsid w:val="00956886"/>
    <w:rsid w:val="009A1D36"/>
    <w:rsid w:val="009F4409"/>
    <w:rsid w:val="00A0646A"/>
    <w:rsid w:val="00B01D81"/>
    <w:rsid w:val="00B91C1F"/>
    <w:rsid w:val="00C95353"/>
    <w:rsid w:val="00D51C6C"/>
    <w:rsid w:val="00D771C9"/>
    <w:rsid w:val="00DF2B93"/>
    <w:rsid w:val="00E021BC"/>
    <w:rsid w:val="00F61208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8572"/>
  <w15:docId w15:val="{B0FA831E-FE3B-4F9B-9432-AEC2A8FA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C9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1C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771C9"/>
    <w:pPr>
      <w:tabs>
        <w:tab w:val="left" w:pos="1418"/>
      </w:tabs>
      <w:ind w:left="2160" w:hanging="720"/>
      <w:jc w:val="both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771C9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C6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15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6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154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B4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8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8F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8F1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qub.ac.uk/dasa/AcademicAffairs/ResearchDegreeProgramm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b.ac.uk/dasa/AcademicAffairs/GeneralRegulations/StudyRegulations/StudyRegulationsforResearchDegreeProgramm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aa.ac.uk/en/quality-code/advice-and-guidance/partnership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qaa.ac.uk/quality-co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fb19a30ede88535bd4253bf16cd7ea2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9f4094630b32a62f7159e1d2a82aca71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E4EE7-6738-4CEA-8991-A8AED61B275A}"/>
</file>

<file path=customXml/itemProps2.xml><?xml version="1.0" encoding="utf-8"?>
<ds:datastoreItem xmlns:ds="http://schemas.openxmlformats.org/officeDocument/2006/customXml" ds:itemID="{272FB473-42E6-444F-A9ED-ADD51559BA5B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3.xml><?xml version="1.0" encoding="utf-8"?>
<ds:datastoreItem xmlns:ds="http://schemas.openxmlformats.org/officeDocument/2006/customXml" ds:itemID="{A387384D-1FE2-4B09-9BF5-DEDF2CB641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McVeigh</dc:creator>
  <cp:lastModifiedBy>Clare McVeigh</cp:lastModifiedBy>
  <cp:revision>8</cp:revision>
  <dcterms:created xsi:type="dcterms:W3CDTF">2020-08-18T15:31:00Z</dcterms:created>
  <dcterms:modified xsi:type="dcterms:W3CDTF">2025-07-30T13:09:00Z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</Properties>
</file>