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6B00" w:rsidRDefault="004A6CE7" w:rsidP="00F25934">
      <w:pPr>
        <w:spacing w:after="0" w:line="240" w:lineRule="auto"/>
        <w:jc w:val="center"/>
      </w:pPr>
      <w:bookmarkStart w:id="0" w:name="_GoBack"/>
      <w:bookmarkEnd w:id="0"/>
      <w:r>
        <w:t xml:space="preserve">The </w:t>
      </w:r>
      <w:r w:rsidR="009B5166">
        <w:t>Register of Support Providers</w:t>
      </w:r>
      <w:r w:rsidR="00CB0C77">
        <w:t xml:space="preserve"> at Queen’s University</w:t>
      </w:r>
    </w:p>
    <w:p w:rsidR="009B5166" w:rsidRDefault="009B5166" w:rsidP="00F25934">
      <w:pPr>
        <w:spacing w:after="0" w:line="240" w:lineRule="auto"/>
        <w:jc w:val="center"/>
      </w:pPr>
    </w:p>
    <w:p w:rsidR="009B5166" w:rsidRDefault="009B5166" w:rsidP="00F25934">
      <w:pPr>
        <w:spacing w:after="0" w:line="240" w:lineRule="auto"/>
        <w:jc w:val="center"/>
        <w:rPr>
          <w:b/>
          <w:sz w:val="28"/>
          <w:szCs w:val="28"/>
        </w:rPr>
      </w:pPr>
      <w:r w:rsidRPr="009B5166">
        <w:rPr>
          <w:b/>
          <w:sz w:val="28"/>
          <w:szCs w:val="28"/>
        </w:rPr>
        <w:t>Guidelines</w:t>
      </w:r>
      <w:r>
        <w:rPr>
          <w:b/>
          <w:sz w:val="28"/>
          <w:szCs w:val="28"/>
        </w:rPr>
        <w:t xml:space="preserve"> for Matching Students with Support Providers</w:t>
      </w:r>
    </w:p>
    <w:p w:rsidR="009B5166" w:rsidRDefault="009B5166" w:rsidP="00F25934">
      <w:pPr>
        <w:spacing w:after="0" w:line="240" w:lineRule="auto"/>
        <w:rPr>
          <w:b/>
          <w:sz w:val="28"/>
          <w:szCs w:val="28"/>
        </w:rPr>
      </w:pPr>
    </w:p>
    <w:p w:rsidR="009B5166" w:rsidRPr="009B5166" w:rsidRDefault="009B5166" w:rsidP="00F25934">
      <w:pPr>
        <w:spacing w:after="0" w:line="240" w:lineRule="auto"/>
        <w:rPr>
          <w:b/>
          <w:sz w:val="28"/>
          <w:szCs w:val="28"/>
        </w:rPr>
      </w:pPr>
    </w:p>
    <w:p w:rsidR="009B5166" w:rsidRDefault="00CB0C77" w:rsidP="00F25934">
      <w:pPr>
        <w:spacing w:after="0" w:line="240" w:lineRule="auto"/>
      </w:pPr>
      <w:r>
        <w:t>The Register of Support Providers at Queen’s University</w:t>
      </w:r>
      <w:r w:rsidR="009B5166">
        <w:t xml:space="preserve"> </w:t>
      </w:r>
      <w:r w:rsidR="00961E39">
        <w:t>maintains a database</w:t>
      </w:r>
      <w:r w:rsidR="009B5166">
        <w:t xml:space="preserve"> of appropriately qualified and experienced Support Providers who </w:t>
      </w:r>
      <w:r w:rsidR="0088726B">
        <w:t>are engaged</w:t>
      </w:r>
      <w:r w:rsidR="009B5166">
        <w:t xml:space="preserve"> on a freelance basis </w:t>
      </w:r>
      <w:r w:rsidR="00961E39">
        <w:t>to provide</w:t>
      </w:r>
      <w:r w:rsidR="009B5166">
        <w:t xml:space="preserve"> one-to-one support to students with disabilities. </w:t>
      </w:r>
    </w:p>
    <w:p w:rsidR="009B5166" w:rsidRDefault="009B5166" w:rsidP="00F25934">
      <w:pPr>
        <w:spacing w:after="0" w:line="240" w:lineRule="auto"/>
      </w:pPr>
    </w:p>
    <w:p w:rsidR="00961E39" w:rsidRDefault="00961E39" w:rsidP="00F25934">
      <w:pPr>
        <w:spacing w:after="0" w:line="240" w:lineRule="auto"/>
      </w:pPr>
      <w:r>
        <w:t xml:space="preserve">Support is provided </w:t>
      </w:r>
      <w:r w:rsidR="00523332">
        <w:t xml:space="preserve">on </w:t>
      </w:r>
      <w:r w:rsidR="00D50D1A">
        <w:t>a</w:t>
      </w:r>
      <w:r w:rsidR="00523332">
        <w:t xml:space="preserve"> face-to-face basis and is </w:t>
      </w:r>
      <w:r w:rsidR="00F25934">
        <w:t xml:space="preserve">purely academic in that it is </w:t>
      </w:r>
      <w:r w:rsidR="00523332">
        <w:t xml:space="preserve">designed to help students develop more effective strategies for overcoming the academic hurdles associated with their </w:t>
      </w:r>
      <w:r w:rsidR="00D50D1A">
        <w:t xml:space="preserve">particular </w:t>
      </w:r>
      <w:r w:rsidR="00523332">
        <w:t xml:space="preserve">disabilities or long term conditions.  </w:t>
      </w:r>
      <w:r w:rsidR="00F25934">
        <w:t xml:space="preserve">As such, and for health and safety reasons, support arranged through </w:t>
      </w:r>
      <w:r w:rsidR="00CB0C77">
        <w:t>the Register of Support Providers at Queen’s University</w:t>
      </w:r>
      <w:r w:rsidR="00F25934">
        <w:t xml:space="preserve"> does not involve personal care of any sort at any level.</w:t>
      </w:r>
    </w:p>
    <w:p w:rsidR="00523332" w:rsidRDefault="00523332" w:rsidP="00F25934">
      <w:pPr>
        <w:spacing w:after="0" w:line="240" w:lineRule="auto"/>
      </w:pPr>
    </w:p>
    <w:p w:rsidR="00523332" w:rsidRPr="00523332" w:rsidRDefault="00523332" w:rsidP="00F25934">
      <w:pPr>
        <w:spacing w:after="0" w:line="240" w:lineRule="auto"/>
        <w:rPr>
          <w:b/>
        </w:rPr>
      </w:pPr>
      <w:r w:rsidRPr="00523332">
        <w:rPr>
          <w:b/>
        </w:rPr>
        <w:t>The Matching Process</w:t>
      </w:r>
    </w:p>
    <w:p w:rsidR="00523332" w:rsidRDefault="00523332" w:rsidP="00F25934">
      <w:pPr>
        <w:spacing w:after="0" w:line="240" w:lineRule="auto"/>
      </w:pPr>
    </w:p>
    <w:p w:rsidR="00E12002" w:rsidRDefault="009B5166" w:rsidP="00F25934">
      <w:pPr>
        <w:spacing w:after="0" w:line="240" w:lineRule="auto"/>
      </w:pPr>
      <w:r>
        <w:t>Once a student has had their Needs Assessment</w:t>
      </w:r>
      <w:r w:rsidR="00961E39">
        <w:t xml:space="preserve">, </w:t>
      </w:r>
      <w:r w:rsidR="00CB0C77">
        <w:t>they</w:t>
      </w:r>
      <w:r w:rsidR="00E12002">
        <w:t xml:space="preserve"> will be given an overview of the various one-to-one </w:t>
      </w:r>
      <w:r w:rsidR="00086086">
        <w:t>supplier</w:t>
      </w:r>
      <w:r w:rsidR="00E12002">
        <w:t xml:space="preserve">s available to allow </w:t>
      </w:r>
      <w:r w:rsidR="00CB0C77">
        <w:t>them</w:t>
      </w:r>
      <w:r w:rsidR="00E12002">
        <w:t xml:space="preserve"> to </w:t>
      </w:r>
      <w:r w:rsidR="00737145">
        <w:t xml:space="preserve">make an informed choice and </w:t>
      </w:r>
      <w:r w:rsidR="00E12002">
        <w:t xml:space="preserve">select the provider </w:t>
      </w:r>
      <w:r w:rsidR="00CB0C77">
        <w:t>they feel</w:t>
      </w:r>
      <w:r w:rsidR="00E12002">
        <w:t xml:space="preserve"> w</w:t>
      </w:r>
      <w:r w:rsidR="0088726B">
        <w:t>ill</w:t>
      </w:r>
      <w:r w:rsidR="00E12002">
        <w:t xml:space="preserve"> best meet </w:t>
      </w:r>
      <w:r w:rsidR="0082297E">
        <w:t xml:space="preserve">with </w:t>
      </w:r>
      <w:r w:rsidR="00E12002">
        <w:t xml:space="preserve">their needs.  </w:t>
      </w:r>
    </w:p>
    <w:p w:rsidR="00E12002" w:rsidRDefault="00E12002" w:rsidP="00F25934">
      <w:pPr>
        <w:spacing w:after="0" w:line="240" w:lineRule="auto"/>
      </w:pPr>
    </w:p>
    <w:p w:rsidR="009B5166" w:rsidRDefault="00E12002" w:rsidP="00F25934">
      <w:pPr>
        <w:spacing w:after="0" w:line="240" w:lineRule="auto"/>
      </w:pPr>
      <w:r>
        <w:t xml:space="preserve">If the student opts </w:t>
      </w:r>
      <w:r w:rsidR="0088726B">
        <w:t>to have</w:t>
      </w:r>
      <w:r>
        <w:t xml:space="preserve"> their support arranged by Queen’s and funding for one-to-one support is available, a </w:t>
      </w:r>
      <w:r w:rsidR="009B5166">
        <w:t xml:space="preserve">Referral is sent to </w:t>
      </w:r>
      <w:r w:rsidR="00CB0C77">
        <w:t>the Register of Support Providers</w:t>
      </w:r>
      <w:r w:rsidR="009B5166">
        <w:t>.</w:t>
      </w:r>
    </w:p>
    <w:p w:rsidR="009B5166" w:rsidRDefault="009B5166" w:rsidP="00F25934">
      <w:pPr>
        <w:spacing w:after="0" w:line="240" w:lineRule="auto"/>
      </w:pPr>
    </w:p>
    <w:p w:rsidR="007065AB" w:rsidRDefault="009B5166" w:rsidP="00F25934">
      <w:pPr>
        <w:spacing w:after="0" w:line="240" w:lineRule="auto"/>
        <w:rPr>
          <w:lang w:val="en-US"/>
        </w:rPr>
      </w:pPr>
      <w:r>
        <w:t>The Referral outline</w:t>
      </w:r>
      <w:r w:rsidR="00961E39">
        <w:t>s</w:t>
      </w:r>
      <w:r>
        <w:t xml:space="preserve"> the student’s contact information, </w:t>
      </w:r>
      <w:r w:rsidR="0088726B">
        <w:t xml:space="preserve">course details, </w:t>
      </w:r>
      <w:r>
        <w:t xml:space="preserve">their </w:t>
      </w:r>
      <w:proofErr w:type="gramStart"/>
      <w:r>
        <w:t>disability(</w:t>
      </w:r>
      <w:proofErr w:type="spellStart"/>
      <w:proofErr w:type="gramEnd"/>
      <w:r>
        <w:t>ies</w:t>
      </w:r>
      <w:proofErr w:type="spellEnd"/>
      <w:r>
        <w:t xml:space="preserve">), their one-to-one support requirements and any other information deemed necessary by their Needs Assessor for </w:t>
      </w:r>
      <w:r w:rsidR="007D2AA6" w:rsidRPr="00961E39">
        <w:rPr>
          <w:lang w:val="en-US"/>
        </w:rPr>
        <w:t xml:space="preserve">the effective implementation of </w:t>
      </w:r>
      <w:r w:rsidR="00523332">
        <w:rPr>
          <w:lang w:val="en-US"/>
        </w:rPr>
        <w:t xml:space="preserve">the </w:t>
      </w:r>
      <w:r w:rsidR="007D2AA6" w:rsidRPr="00961E39">
        <w:rPr>
          <w:lang w:val="en-US"/>
        </w:rPr>
        <w:t>agreed</w:t>
      </w:r>
      <w:r w:rsidR="00961E39">
        <w:rPr>
          <w:lang w:val="en-US"/>
        </w:rPr>
        <w:t xml:space="preserve"> support.</w:t>
      </w:r>
    </w:p>
    <w:p w:rsidR="00F25934" w:rsidRDefault="00F25934" w:rsidP="00F25934">
      <w:pPr>
        <w:spacing w:after="0" w:line="240" w:lineRule="auto"/>
        <w:rPr>
          <w:lang w:val="en-US"/>
        </w:rPr>
      </w:pPr>
    </w:p>
    <w:p w:rsidR="00D50D1A" w:rsidRDefault="00D50D1A" w:rsidP="00F25934">
      <w:pPr>
        <w:spacing w:after="0" w:line="240" w:lineRule="auto"/>
        <w:rPr>
          <w:lang w:val="en-US"/>
        </w:rPr>
      </w:pPr>
      <w:r>
        <w:rPr>
          <w:lang w:val="en-US"/>
        </w:rPr>
        <w:t xml:space="preserve">On receipt of a Referral, the Register will endeavor to match the student as soon as possible with a </w:t>
      </w:r>
      <w:r w:rsidR="00F25934">
        <w:rPr>
          <w:lang w:val="en-US"/>
        </w:rPr>
        <w:t xml:space="preserve">suitable </w:t>
      </w:r>
      <w:r>
        <w:rPr>
          <w:lang w:val="en-US"/>
        </w:rPr>
        <w:t>Support Provider</w:t>
      </w:r>
      <w:r w:rsidR="00E12002">
        <w:rPr>
          <w:lang w:val="en-US"/>
        </w:rPr>
        <w:t>(s)</w:t>
      </w:r>
      <w:r>
        <w:rPr>
          <w:lang w:val="en-US"/>
        </w:rPr>
        <w:t xml:space="preserve"> based on the</w:t>
      </w:r>
      <w:r w:rsidR="00E12002">
        <w:rPr>
          <w:lang w:val="en-US"/>
        </w:rPr>
        <w:t xml:space="preserve"> latter’s</w:t>
      </w:r>
      <w:r>
        <w:rPr>
          <w:lang w:val="en-US"/>
        </w:rPr>
        <w:t xml:space="preserve"> qualifications / experience and the student’s one-to-one support needs. </w:t>
      </w:r>
    </w:p>
    <w:p w:rsidR="00E12002" w:rsidRDefault="00E12002" w:rsidP="00F25934">
      <w:pPr>
        <w:spacing w:after="0" w:line="240" w:lineRule="auto"/>
        <w:rPr>
          <w:lang w:val="en-US"/>
        </w:rPr>
      </w:pPr>
    </w:p>
    <w:p w:rsidR="00D50D1A" w:rsidRDefault="00D50D1A" w:rsidP="00F25934">
      <w:pPr>
        <w:spacing w:after="0" w:line="240" w:lineRule="auto"/>
        <w:rPr>
          <w:b/>
          <w:lang w:val="en-US"/>
        </w:rPr>
      </w:pPr>
      <w:r w:rsidRPr="00D50D1A">
        <w:rPr>
          <w:b/>
          <w:lang w:val="en-US"/>
        </w:rPr>
        <w:t>Blended Support</w:t>
      </w:r>
    </w:p>
    <w:p w:rsidR="00F25934" w:rsidRPr="00D50D1A" w:rsidRDefault="00F25934" w:rsidP="00F25934">
      <w:pPr>
        <w:spacing w:after="0" w:line="240" w:lineRule="auto"/>
        <w:rPr>
          <w:b/>
          <w:lang w:val="en-US"/>
        </w:rPr>
      </w:pPr>
    </w:p>
    <w:p w:rsidR="00D50D1A" w:rsidRDefault="00CB0C77" w:rsidP="00F25934">
      <w:pPr>
        <w:spacing w:after="0" w:line="240" w:lineRule="auto"/>
        <w:rPr>
          <w:lang w:val="en-US"/>
        </w:rPr>
      </w:pPr>
      <w:r>
        <w:rPr>
          <w:lang w:val="en-US"/>
        </w:rPr>
        <w:t xml:space="preserve">To ensure the health and safety of students and Support Providers, the Register does not provide blended (academic and personal) support either wholly or partially.  Support Providers are not trained, insured or engaged to deliver any element of personal care.  </w:t>
      </w:r>
      <w:r w:rsidR="00D50D1A">
        <w:rPr>
          <w:lang w:val="en-US"/>
        </w:rPr>
        <w:t xml:space="preserve">Where a student </w:t>
      </w:r>
      <w:r w:rsidR="00086086">
        <w:rPr>
          <w:lang w:val="en-US"/>
        </w:rPr>
        <w:t>requires</w:t>
      </w:r>
      <w:r w:rsidR="00D50D1A">
        <w:rPr>
          <w:lang w:val="en-US"/>
        </w:rPr>
        <w:t xml:space="preserve"> blended support, </w:t>
      </w:r>
      <w:r w:rsidR="00F25934">
        <w:rPr>
          <w:lang w:val="en-US"/>
        </w:rPr>
        <w:t xml:space="preserve">they will be directed towards </w:t>
      </w:r>
      <w:proofErr w:type="spellStart"/>
      <w:r w:rsidR="00086086">
        <w:rPr>
          <w:lang w:val="en-US"/>
        </w:rPr>
        <w:t>organisations</w:t>
      </w:r>
      <w:proofErr w:type="spellEnd"/>
      <w:r w:rsidR="00F25934">
        <w:rPr>
          <w:lang w:val="en-US"/>
        </w:rPr>
        <w:t xml:space="preserve"> able to arrange support of that nature.</w:t>
      </w:r>
      <w:r>
        <w:rPr>
          <w:lang w:val="en-US"/>
        </w:rPr>
        <w:t xml:space="preserve"> </w:t>
      </w:r>
    </w:p>
    <w:p w:rsidR="00F25934" w:rsidRDefault="00F25934" w:rsidP="00F25934">
      <w:pPr>
        <w:spacing w:after="0" w:line="240" w:lineRule="auto"/>
        <w:rPr>
          <w:lang w:val="en-US"/>
        </w:rPr>
      </w:pPr>
    </w:p>
    <w:p w:rsidR="00523332" w:rsidRDefault="00523332" w:rsidP="00F25934">
      <w:pPr>
        <w:spacing w:after="0" w:line="240" w:lineRule="auto"/>
        <w:rPr>
          <w:b/>
          <w:lang w:val="en-US"/>
        </w:rPr>
      </w:pPr>
      <w:r w:rsidRPr="00523332">
        <w:rPr>
          <w:b/>
          <w:lang w:val="en-US"/>
        </w:rPr>
        <w:t>Cover</w:t>
      </w:r>
    </w:p>
    <w:p w:rsidR="00F25934" w:rsidRPr="00523332" w:rsidRDefault="00F25934" w:rsidP="00F25934">
      <w:pPr>
        <w:spacing w:after="0" w:line="240" w:lineRule="auto"/>
        <w:rPr>
          <w:b/>
          <w:lang w:val="en-US"/>
        </w:rPr>
      </w:pPr>
    </w:p>
    <w:p w:rsidR="00523332" w:rsidRDefault="00523332" w:rsidP="00F25934">
      <w:pPr>
        <w:spacing w:after="0" w:line="240" w:lineRule="auto"/>
        <w:rPr>
          <w:lang w:val="en-US"/>
        </w:rPr>
      </w:pPr>
      <w:r>
        <w:rPr>
          <w:lang w:val="en-US"/>
        </w:rPr>
        <w:t xml:space="preserve">As </w:t>
      </w:r>
      <w:r w:rsidR="0082297E">
        <w:rPr>
          <w:lang w:val="en-US"/>
        </w:rPr>
        <w:t>our</w:t>
      </w:r>
      <w:r>
        <w:rPr>
          <w:lang w:val="en-US"/>
        </w:rPr>
        <w:t xml:space="preserve"> Support Providers work on a self-employed basis, they are free to take </w:t>
      </w:r>
      <w:r w:rsidR="00D50D1A">
        <w:rPr>
          <w:lang w:val="en-US"/>
        </w:rPr>
        <w:t>up</w:t>
      </w:r>
      <w:r>
        <w:rPr>
          <w:lang w:val="en-US"/>
        </w:rPr>
        <w:t xml:space="preserve"> or reject </w:t>
      </w:r>
      <w:r w:rsidR="00D50D1A">
        <w:rPr>
          <w:lang w:val="en-US"/>
        </w:rPr>
        <w:t>offers of work made to them</w:t>
      </w:r>
      <w:r>
        <w:rPr>
          <w:lang w:val="en-US"/>
        </w:rPr>
        <w:t xml:space="preserve">.  Whilst every effort will be made to arrange alternative cover in instances where a Support Provider declines / hands back work or is unable to continue with a student because of illness </w:t>
      </w:r>
      <w:proofErr w:type="spellStart"/>
      <w:r>
        <w:rPr>
          <w:lang w:val="en-US"/>
        </w:rPr>
        <w:t>etc</w:t>
      </w:r>
      <w:proofErr w:type="spellEnd"/>
      <w:r>
        <w:rPr>
          <w:lang w:val="en-US"/>
        </w:rPr>
        <w:t xml:space="preserve"> 100% cover</w:t>
      </w:r>
      <w:r w:rsidR="0088726B">
        <w:rPr>
          <w:lang w:val="en-US"/>
        </w:rPr>
        <w:t xml:space="preserve"> cannot be guaranteed</w:t>
      </w:r>
      <w:r>
        <w:rPr>
          <w:lang w:val="en-US"/>
        </w:rPr>
        <w:t xml:space="preserve">.  </w:t>
      </w:r>
    </w:p>
    <w:p w:rsidR="00AE3DC0" w:rsidRDefault="00AE3DC0" w:rsidP="00F25934">
      <w:pPr>
        <w:spacing w:after="0" w:line="240" w:lineRule="auto"/>
        <w:rPr>
          <w:lang w:val="en-US"/>
        </w:rPr>
      </w:pPr>
    </w:p>
    <w:p w:rsidR="00D50D1A" w:rsidRDefault="00523332" w:rsidP="00F25934">
      <w:pPr>
        <w:spacing w:after="0" w:line="240" w:lineRule="auto"/>
        <w:rPr>
          <w:lang w:val="en-US"/>
        </w:rPr>
      </w:pPr>
      <w:r>
        <w:rPr>
          <w:lang w:val="en-US"/>
        </w:rPr>
        <w:t>Depending on the one-to-one support required,</w:t>
      </w:r>
      <w:r w:rsidR="00D50D1A">
        <w:rPr>
          <w:lang w:val="en-US"/>
        </w:rPr>
        <w:t xml:space="preserve"> and particularly with regards to Note Taker support,</w:t>
      </w:r>
      <w:r>
        <w:rPr>
          <w:lang w:val="en-US"/>
        </w:rPr>
        <w:t xml:space="preserve"> students should therefore expect to work with more than on</w:t>
      </w:r>
      <w:r w:rsidR="00D50D1A">
        <w:rPr>
          <w:lang w:val="en-US"/>
        </w:rPr>
        <w:t>e</w:t>
      </w:r>
      <w:r>
        <w:rPr>
          <w:lang w:val="en-US"/>
        </w:rPr>
        <w:t xml:space="preserve"> Support Provider.</w:t>
      </w:r>
    </w:p>
    <w:p w:rsidR="00F25934" w:rsidRDefault="00F25934" w:rsidP="00F25934">
      <w:pPr>
        <w:spacing w:after="0" w:line="240" w:lineRule="auto"/>
        <w:rPr>
          <w:lang w:val="en-US"/>
        </w:rPr>
      </w:pPr>
    </w:p>
    <w:p w:rsidR="00D50D1A" w:rsidRDefault="005C1601" w:rsidP="00F25934">
      <w:pPr>
        <w:spacing w:after="0" w:line="240" w:lineRule="auto"/>
        <w:rPr>
          <w:b/>
          <w:lang w:val="en-US"/>
        </w:rPr>
      </w:pPr>
      <w:r>
        <w:rPr>
          <w:b/>
          <w:lang w:val="en-US"/>
        </w:rPr>
        <w:t xml:space="preserve">Support </w:t>
      </w:r>
      <w:r w:rsidR="00D50D1A" w:rsidRPr="00D50D1A">
        <w:rPr>
          <w:b/>
          <w:lang w:val="en-US"/>
        </w:rPr>
        <w:t xml:space="preserve">Provision </w:t>
      </w:r>
      <w:r>
        <w:rPr>
          <w:b/>
          <w:lang w:val="en-US"/>
        </w:rPr>
        <w:t xml:space="preserve">Responsibilities and </w:t>
      </w:r>
      <w:r w:rsidR="00D50D1A" w:rsidRPr="00D50D1A">
        <w:rPr>
          <w:b/>
          <w:lang w:val="en-US"/>
        </w:rPr>
        <w:t>Boundaries</w:t>
      </w:r>
    </w:p>
    <w:p w:rsidR="0082297E" w:rsidRDefault="0082297E" w:rsidP="00F25934">
      <w:pPr>
        <w:spacing w:after="0" w:line="240" w:lineRule="auto"/>
        <w:rPr>
          <w:b/>
          <w:lang w:val="en-US"/>
        </w:rPr>
      </w:pPr>
    </w:p>
    <w:p w:rsidR="0082297E" w:rsidRDefault="0082297E" w:rsidP="00AE3DC0">
      <w:pPr>
        <w:pStyle w:val="ListParagraph"/>
        <w:numPr>
          <w:ilvl w:val="0"/>
          <w:numId w:val="3"/>
        </w:numPr>
        <w:rPr>
          <w:rFonts w:asciiTheme="minorHAnsi" w:hAnsiTheme="minorHAnsi"/>
          <w:sz w:val="22"/>
          <w:szCs w:val="22"/>
          <w:lang w:val="en-US"/>
        </w:rPr>
      </w:pPr>
      <w:r w:rsidRPr="00AE3DC0">
        <w:rPr>
          <w:rFonts w:asciiTheme="minorHAnsi" w:hAnsiTheme="minorHAnsi"/>
          <w:sz w:val="22"/>
          <w:szCs w:val="22"/>
          <w:lang w:val="en-US"/>
        </w:rPr>
        <w:t>Students will only be matched with Support Providers who meet the required criteria for the student’s support role(s) (</w:t>
      </w:r>
      <w:r w:rsidR="00AE3DC0">
        <w:rPr>
          <w:rFonts w:asciiTheme="minorHAnsi" w:hAnsiTheme="minorHAnsi"/>
          <w:sz w:val="22"/>
          <w:szCs w:val="22"/>
          <w:lang w:val="en-US"/>
        </w:rPr>
        <w:t xml:space="preserve">for further information, </w:t>
      </w:r>
      <w:r w:rsidRPr="00AE3DC0">
        <w:rPr>
          <w:rFonts w:asciiTheme="minorHAnsi" w:hAnsiTheme="minorHAnsi"/>
          <w:sz w:val="22"/>
          <w:szCs w:val="22"/>
          <w:lang w:val="en-US"/>
        </w:rPr>
        <w:t xml:space="preserve">please see the various job descriptions at </w:t>
      </w:r>
      <w:hyperlink r:id="rId5" w:history="1">
        <w:r w:rsidR="00A31CE9" w:rsidRPr="00197AD5">
          <w:rPr>
            <w:rStyle w:val="Hyperlink"/>
            <w:rFonts w:asciiTheme="minorHAnsi" w:hAnsiTheme="minorHAnsi"/>
            <w:sz w:val="22"/>
            <w:szCs w:val="22"/>
            <w:lang w:val="en-US"/>
          </w:rPr>
          <w:t>www.qub.ac.uk/directorates/sgc/disability/QueensRegisterofSupportProviders/</w:t>
        </w:r>
      </w:hyperlink>
      <w:r w:rsidRPr="00AE3DC0">
        <w:rPr>
          <w:rFonts w:asciiTheme="minorHAnsi" w:hAnsiTheme="minorHAnsi"/>
          <w:sz w:val="22"/>
          <w:szCs w:val="22"/>
          <w:lang w:val="en-US"/>
        </w:rPr>
        <w:t xml:space="preserve">).  </w:t>
      </w:r>
    </w:p>
    <w:p w:rsidR="0088726B" w:rsidRPr="0088726B" w:rsidRDefault="0088726B" w:rsidP="0088726B">
      <w:pPr>
        <w:pStyle w:val="ListParagraph"/>
        <w:numPr>
          <w:ilvl w:val="0"/>
          <w:numId w:val="3"/>
        </w:numPr>
        <w:rPr>
          <w:rFonts w:asciiTheme="minorHAnsi" w:hAnsiTheme="minorHAnsi"/>
          <w:sz w:val="22"/>
          <w:szCs w:val="22"/>
          <w:lang w:val="en-US"/>
        </w:rPr>
      </w:pPr>
      <w:r w:rsidRPr="0088726B">
        <w:rPr>
          <w:rFonts w:asciiTheme="minorHAnsi" w:hAnsiTheme="minorHAnsi"/>
          <w:sz w:val="22"/>
          <w:szCs w:val="22"/>
          <w:lang w:val="en-US"/>
        </w:rPr>
        <w:lastRenderedPageBreak/>
        <w:t xml:space="preserve">Support Providers </w:t>
      </w:r>
      <w:r>
        <w:rPr>
          <w:rFonts w:asciiTheme="minorHAnsi" w:hAnsiTheme="minorHAnsi"/>
          <w:sz w:val="22"/>
          <w:szCs w:val="22"/>
          <w:lang w:val="en-US"/>
        </w:rPr>
        <w:t>will deliver support within</w:t>
      </w:r>
      <w:r w:rsidRPr="0088726B">
        <w:rPr>
          <w:rFonts w:asciiTheme="minorHAnsi" w:hAnsiTheme="minorHAnsi" w:cs="Arial"/>
          <w:sz w:val="22"/>
          <w:szCs w:val="22"/>
        </w:rPr>
        <w:t xml:space="preserve"> the boundaries of their</w:t>
      </w:r>
      <w:r w:rsidR="00DA1B96">
        <w:rPr>
          <w:rFonts w:asciiTheme="minorHAnsi" w:hAnsiTheme="minorHAnsi" w:cs="Arial"/>
          <w:sz w:val="22"/>
          <w:szCs w:val="22"/>
        </w:rPr>
        <w:t xml:space="preserve"> support</w:t>
      </w:r>
      <w:r w:rsidRPr="0088726B">
        <w:rPr>
          <w:rFonts w:asciiTheme="minorHAnsi" w:hAnsiTheme="minorHAnsi" w:cs="Arial"/>
          <w:sz w:val="22"/>
          <w:szCs w:val="22"/>
        </w:rPr>
        <w:t xml:space="preserve"> </w:t>
      </w:r>
      <w:r>
        <w:rPr>
          <w:rFonts w:asciiTheme="minorHAnsi" w:hAnsiTheme="minorHAnsi" w:cs="Arial"/>
          <w:sz w:val="22"/>
          <w:szCs w:val="22"/>
        </w:rPr>
        <w:t xml:space="preserve">role / </w:t>
      </w:r>
      <w:r w:rsidRPr="0088726B">
        <w:rPr>
          <w:rFonts w:asciiTheme="minorHAnsi" w:hAnsiTheme="minorHAnsi" w:cs="Arial"/>
          <w:sz w:val="22"/>
          <w:szCs w:val="22"/>
        </w:rPr>
        <w:t>skill competencies</w:t>
      </w:r>
      <w:r>
        <w:rPr>
          <w:rFonts w:asciiTheme="minorHAnsi" w:hAnsiTheme="minorHAnsi" w:cs="Arial"/>
          <w:sz w:val="22"/>
          <w:szCs w:val="22"/>
        </w:rPr>
        <w:t xml:space="preserve">.  They should not be expected to </w:t>
      </w:r>
      <w:r w:rsidRPr="0088726B">
        <w:rPr>
          <w:rFonts w:asciiTheme="minorHAnsi" w:hAnsiTheme="minorHAnsi" w:cs="Arial"/>
          <w:sz w:val="22"/>
          <w:szCs w:val="22"/>
        </w:rPr>
        <w:t>give academic</w:t>
      </w:r>
      <w:r>
        <w:rPr>
          <w:rFonts w:asciiTheme="minorHAnsi" w:hAnsiTheme="minorHAnsi" w:cs="Arial"/>
          <w:sz w:val="22"/>
          <w:szCs w:val="22"/>
        </w:rPr>
        <w:t>, subject-specific</w:t>
      </w:r>
      <w:r w:rsidRPr="0088726B">
        <w:rPr>
          <w:rFonts w:asciiTheme="minorHAnsi" w:hAnsiTheme="minorHAnsi" w:cs="Arial"/>
          <w:sz w:val="22"/>
          <w:szCs w:val="22"/>
        </w:rPr>
        <w:t xml:space="preserve"> or personal advice to students </w:t>
      </w:r>
      <w:r>
        <w:rPr>
          <w:rFonts w:asciiTheme="minorHAnsi" w:hAnsiTheme="minorHAnsi" w:cs="Arial"/>
          <w:sz w:val="22"/>
          <w:szCs w:val="22"/>
        </w:rPr>
        <w:t>beyond</w:t>
      </w:r>
      <w:r w:rsidRPr="0088726B">
        <w:rPr>
          <w:rFonts w:asciiTheme="minorHAnsi" w:hAnsiTheme="minorHAnsi" w:cs="Arial"/>
          <w:sz w:val="22"/>
          <w:szCs w:val="22"/>
        </w:rPr>
        <w:t xml:space="preserve"> the remit of their </w:t>
      </w:r>
      <w:r>
        <w:rPr>
          <w:rFonts w:asciiTheme="minorHAnsi" w:hAnsiTheme="minorHAnsi" w:cs="Arial"/>
          <w:sz w:val="22"/>
          <w:szCs w:val="22"/>
        </w:rPr>
        <w:t>support</w:t>
      </w:r>
      <w:r w:rsidRPr="0088726B">
        <w:rPr>
          <w:rFonts w:asciiTheme="minorHAnsi" w:hAnsiTheme="minorHAnsi" w:cs="Arial"/>
          <w:sz w:val="22"/>
          <w:szCs w:val="22"/>
        </w:rPr>
        <w:t xml:space="preserve"> role(s)</w:t>
      </w:r>
      <w:r>
        <w:rPr>
          <w:rFonts w:asciiTheme="minorHAnsi" w:hAnsiTheme="minorHAnsi" w:cs="Arial"/>
          <w:sz w:val="22"/>
          <w:szCs w:val="22"/>
        </w:rPr>
        <w:t xml:space="preserve"> (see aforementioned web page for further information).</w:t>
      </w:r>
    </w:p>
    <w:p w:rsidR="00737145" w:rsidRPr="00AE3DC0" w:rsidRDefault="0082297E" w:rsidP="00F25934">
      <w:pPr>
        <w:pStyle w:val="ListParagraph"/>
        <w:numPr>
          <w:ilvl w:val="0"/>
          <w:numId w:val="3"/>
        </w:numPr>
        <w:rPr>
          <w:rFonts w:asciiTheme="minorHAnsi" w:hAnsiTheme="minorHAnsi"/>
          <w:sz w:val="22"/>
          <w:szCs w:val="22"/>
          <w:lang w:val="en-US"/>
        </w:rPr>
      </w:pPr>
      <w:r w:rsidRPr="00AE3DC0">
        <w:rPr>
          <w:rFonts w:asciiTheme="minorHAnsi" w:hAnsiTheme="minorHAnsi" w:cs="Avenir LT Std 35 Light"/>
          <w:color w:val="000000"/>
          <w:sz w:val="22"/>
          <w:szCs w:val="22"/>
        </w:rPr>
        <w:t xml:space="preserve">Occasionally because of their </w:t>
      </w:r>
      <w:proofErr w:type="gramStart"/>
      <w:r w:rsidRPr="00AE3DC0">
        <w:rPr>
          <w:rFonts w:asciiTheme="minorHAnsi" w:hAnsiTheme="minorHAnsi" w:cs="Avenir LT Std 35 Light"/>
          <w:color w:val="000000"/>
          <w:sz w:val="22"/>
          <w:szCs w:val="22"/>
        </w:rPr>
        <w:t>disability</w:t>
      </w:r>
      <w:r w:rsidR="00AE3DC0">
        <w:rPr>
          <w:rFonts w:asciiTheme="minorHAnsi" w:hAnsiTheme="minorHAnsi" w:cs="Avenir LT Std 35 Light"/>
          <w:color w:val="000000"/>
          <w:sz w:val="22"/>
          <w:szCs w:val="22"/>
        </w:rPr>
        <w:t>(</w:t>
      </w:r>
      <w:proofErr w:type="spellStart"/>
      <w:proofErr w:type="gramEnd"/>
      <w:r w:rsidRPr="00AE3DC0">
        <w:rPr>
          <w:rFonts w:asciiTheme="minorHAnsi" w:hAnsiTheme="minorHAnsi" w:cs="Avenir LT Std 35 Light"/>
          <w:color w:val="000000"/>
          <w:sz w:val="22"/>
          <w:szCs w:val="22"/>
        </w:rPr>
        <w:t>ies</w:t>
      </w:r>
      <w:proofErr w:type="spellEnd"/>
      <w:r w:rsidR="00AE3DC0">
        <w:rPr>
          <w:rFonts w:asciiTheme="minorHAnsi" w:hAnsiTheme="minorHAnsi" w:cs="Avenir LT Std 35 Light"/>
          <w:color w:val="000000"/>
          <w:sz w:val="22"/>
          <w:szCs w:val="22"/>
        </w:rPr>
        <w:t>)</w:t>
      </w:r>
      <w:r w:rsidRPr="00AE3DC0">
        <w:rPr>
          <w:rFonts w:asciiTheme="minorHAnsi" w:hAnsiTheme="minorHAnsi" w:cs="Avenir LT Std 35 Light"/>
          <w:color w:val="000000"/>
          <w:sz w:val="22"/>
          <w:szCs w:val="22"/>
        </w:rPr>
        <w:t xml:space="preserve"> and their course demands, a student will be referred for Specialist Campus Assistance. </w:t>
      </w:r>
      <w:r w:rsidR="00AE3DC0">
        <w:rPr>
          <w:rFonts w:asciiTheme="minorHAnsi" w:hAnsiTheme="minorHAnsi" w:cs="Avenir LT Std 35 Light"/>
          <w:color w:val="000000"/>
          <w:sz w:val="22"/>
          <w:szCs w:val="22"/>
        </w:rPr>
        <w:t xml:space="preserve"> Based on the Campus Assistant role, a Specialist Campus Assistant</w:t>
      </w:r>
      <w:r w:rsidRPr="00AE3DC0">
        <w:rPr>
          <w:rFonts w:asciiTheme="minorHAnsi" w:hAnsiTheme="minorHAnsi" w:cs="Avenir LT Std 35 Light"/>
          <w:color w:val="000000"/>
          <w:sz w:val="22"/>
          <w:szCs w:val="22"/>
        </w:rPr>
        <w:t xml:space="preserve"> will perform a range of duties within one role such as note taking, library s</w:t>
      </w:r>
      <w:r w:rsidR="00AE3DC0">
        <w:rPr>
          <w:rFonts w:asciiTheme="minorHAnsi" w:hAnsiTheme="minorHAnsi" w:cs="Avenir LT Std 35 Light"/>
          <w:color w:val="000000"/>
          <w:sz w:val="22"/>
          <w:szCs w:val="22"/>
        </w:rPr>
        <w:t xml:space="preserve">upport and campus assistance coupled with more specialist work such as </w:t>
      </w:r>
      <w:r w:rsidRPr="00AE3DC0">
        <w:rPr>
          <w:rFonts w:asciiTheme="minorHAnsi" w:hAnsiTheme="minorHAnsi" w:cs="Avenir LT Std 35 Light"/>
          <w:color w:val="000000"/>
          <w:sz w:val="22"/>
          <w:szCs w:val="22"/>
        </w:rPr>
        <w:t xml:space="preserve">workshop / laboratory </w:t>
      </w:r>
      <w:r w:rsidR="00AE3DC0">
        <w:rPr>
          <w:rFonts w:asciiTheme="minorHAnsi" w:hAnsiTheme="minorHAnsi" w:cs="Avenir LT Std 35 Light"/>
          <w:color w:val="000000"/>
          <w:sz w:val="22"/>
          <w:szCs w:val="22"/>
        </w:rPr>
        <w:t>assistance</w:t>
      </w:r>
      <w:r w:rsidRPr="00AE3DC0">
        <w:rPr>
          <w:rFonts w:asciiTheme="minorHAnsi" w:hAnsiTheme="minorHAnsi" w:cs="Avenir LT Std 35 Light"/>
          <w:color w:val="000000"/>
          <w:sz w:val="22"/>
          <w:szCs w:val="22"/>
        </w:rPr>
        <w:t xml:space="preserve">. </w:t>
      </w:r>
      <w:r w:rsidR="00AE3DC0">
        <w:rPr>
          <w:rFonts w:asciiTheme="minorHAnsi" w:hAnsiTheme="minorHAnsi" w:cs="Avenir LT Std 35 Light"/>
          <w:color w:val="000000"/>
          <w:sz w:val="22"/>
          <w:szCs w:val="22"/>
        </w:rPr>
        <w:t xml:space="preserve"> </w:t>
      </w:r>
      <w:r w:rsidRPr="00AE3DC0">
        <w:rPr>
          <w:rFonts w:asciiTheme="minorHAnsi" w:hAnsiTheme="minorHAnsi" w:cs="Avenir LT Std 35 Light"/>
          <w:color w:val="000000"/>
          <w:sz w:val="22"/>
          <w:szCs w:val="22"/>
        </w:rPr>
        <w:t xml:space="preserve">As such, the Specialist Campus Assistant role is tailored specifically to meet with </w:t>
      </w:r>
      <w:r w:rsidR="00AE3DC0">
        <w:rPr>
          <w:rFonts w:asciiTheme="minorHAnsi" w:hAnsiTheme="minorHAnsi" w:cs="Avenir LT Std 35 Light"/>
          <w:color w:val="000000"/>
          <w:sz w:val="22"/>
          <w:szCs w:val="22"/>
        </w:rPr>
        <w:t>a</w:t>
      </w:r>
      <w:r w:rsidRPr="00AE3DC0">
        <w:rPr>
          <w:rFonts w:asciiTheme="minorHAnsi" w:hAnsiTheme="minorHAnsi" w:cs="Avenir LT Std 35 Light"/>
          <w:color w:val="000000"/>
          <w:sz w:val="22"/>
          <w:szCs w:val="22"/>
        </w:rPr>
        <w:t xml:space="preserve"> student’s individual needs coupled with the particular academic demands of their course. </w:t>
      </w:r>
      <w:r w:rsidR="0088726B">
        <w:rPr>
          <w:rFonts w:asciiTheme="minorHAnsi" w:hAnsiTheme="minorHAnsi" w:cs="Avenir LT Std 35 Light"/>
          <w:color w:val="000000"/>
          <w:sz w:val="22"/>
          <w:szCs w:val="22"/>
        </w:rPr>
        <w:t xml:space="preserve"> </w:t>
      </w:r>
      <w:r w:rsidR="00AE3DC0">
        <w:rPr>
          <w:rFonts w:asciiTheme="minorHAnsi" w:hAnsiTheme="minorHAnsi" w:cs="Avenir LT Std 35 Light"/>
          <w:color w:val="000000"/>
          <w:sz w:val="22"/>
          <w:szCs w:val="22"/>
        </w:rPr>
        <w:t>N</w:t>
      </w:r>
      <w:r w:rsidRPr="00AE3DC0">
        <w:rPr>
          <w:rFonts w:asciiTheme="minorHAnsi" w:hAnsiTheme="minorHAnsi" w:cs="Avenir LT Std 35 Light"/>
          <w:color w:val="000000"/>
          <w:sz w:val="22"/>
          <w:szCs w:val="22"/>
        </w:rPr>
        <w:t xml:space="preserve">o one Specialist Campus Assistant role will </w:t>
      </w:r>
      <w:r w:rsidR="00AE3DC0">
        <w:rPr>
          <w:rFonts w:asciiTheme="minorHAnsi" w:hAnsiTheme="minorHAnsi" w:cs="Avenir LT Std 35 Light"/>
          <w:color w:val="000000"/>
          <w:sz w:val="22"/>
          <w:szCs w:val="22"/>
        </w:rPr>
        <w:t xml:space="preserve">therefore </w:t>
      </w:r>
      <w:r w:rsidRPr="00AE3DC0">
        <w:rPr>
          <w:rFonts w:asciiTheme="minorHAnsi" w:hAnsiTheme="minorHAnsi" w:cs="Avenir LT Std 35 Light"/>
          <w:color w:val="000000"/>
          <w:sz w:val="22"/>
          <w:szCs w:val="22"/>
        </w:rPr>
        <w:t xml:space="preserve">be the same as another. </w:t>
      </w:r>
    </w:p>
    <w:p w:rsidR="00AE3DC0" w:rsidRPr="00AE3DC0" w:rsidRDefault="00AE3DC0" w:rsidP="00F25934">
      <w:pPr>
        <w:pStyle w:val="ListParagraph"/>
        <w:numPr>
          <w:ilvl w:val="0"/>
          <w:numId w:val="3"/>
        </w:numPr>
        <w:rPr>
          <w:rFonts w:asciiTheme="minorHAnsi" w:hAnsiTheme="minorHAnsi"/>
          <w:sz w:val="22"/>
          <w:szCs w:val="22"/>
          <w:lang w:val="en-US"/>
        </w:rPr>
      </w:pPr>
      <w:r>
        <w:rPr>
          <w:rFonts w:asciiTheme="minorHAnsi" w:hAnsiTheme="minorHAnsi" w:cs="Avenir LT Std 35 Light"/>
          <w:color w:val="000000"/>
          <w:sz w:val="22"/>
          <w:szCs w:val="22"/>
        </w:rPr>
        <w:t xml:space="preserve">Although support is normally </w:t>
      </w:r>
      <w:r w:rsidR="00A31CE9">
        <w:rPr>
          <w:rFonts w:asciiTheme="minorHAnsi" w:hAnsiTheme="minorHAnsi" w:cs="Avenir LT Std 35 Light"/>
          <w:color w:val="000000"/>
          <w:sz w:val="22"/>
          <w:szCs w:val="22"/>
        </w:rPr>
        <w:t>given</w:t>
      </w:r>
      <w:r>
        <w:rPr>
          <w:rFonts w:asciiTheme="minorHAnsi" w:hAnsiTheme="minorHAnsi" w:cs="Avenir LT Std 35 Light"/>
          <w:color w:val="000000"/>
          <w:sz w:val="22"/>
          <w:szCs w:val="22"/>
        </w:rPr>
        <w:t xml:space="preserve"> on a one-to-one basis, it may occasionally be provided by other means such as Skype if this has been agreed in advance with the student’s funder.</w:t>
      </w:r>
    </w:p>
    <w:p w:rsidR="00737145" w:rsidRPr="00737145" w:rsidRDefault="00737145" w:rsidP="00737145">
      <w:pPr>
        <w:pStyle w:val="ListParagraph"/>
        <w:numPr>
          <w:ilvl w:val="0"/>
          <w:numId w:val="2"/>
        </w:numPr>
        <w:rPr>
          <w:rFonts w:asciiTheme="minorHAnsi" w:hAnsiTheme="minorHAnsi"/>
          <w:sz w:val="22"/>
          <w:szCs w:val="22"/>
          <w:lang w:val="en-US"/>
        </w:rPr>
      </w:pPr>
      <w:r w:rsidRPr="00737145">
        <w:rPr>
          <w:rFonts w:asciiTheme="minorHAnsi" w:hAnsiTheme="minorHAnsi"/>
          <w:sz w:val="22"/>
          <w:szCs w:val="22"/>
          <w:lang w:val="en-US"/>
        </w:rPr>
        <w:t xml:space="preserve">Funding through DSA (Disabled Student Allowance) for one-to-one support is not available for family members or friends.  The Register is not therefore able to accommodate requests </w:t>
      </w:r>
      <w:r>
        <w:rPr>
          <w:rFonts w:asciiTheme="minorHAnsi" w:hAnsiTheme="minorHAnsi"/>
          <w:sz w:val="22"/>
          <w:szCs w:val="22"/>
          <w:lang w:val="en-US"/>
        </w:rPr>
        <w:t xml:space="preserve">from students </w:t>
      </w:r>
      <w:r w:rsidRPr="00737145">
        <w:rPr>
          <w:rFonts w:asciiTheme="minorHAnsi" w:hAnsiTheme="minorHAnsi"/>
          <w:sz w:val="22"/>
          <w:szCs w:val="22"/>
          <w:lang w:val="en-US"/>
        </w:rPr>
        <w:t>to work with friend</w:t>
      </w:r>
      <w:r>
        <w:rPr>
          <w:rFonts w:asciiTheme="minorHAnsi" w:hAnsiTheme="minorHAnsi"/>
          <w:sz w:val="22"/>
          <w:szCs w:val="22"/>
          <w:lang w:val="en-US"/>
        </w:rPr>
        <w:t>s</w:t>
      </w:r>
      <w:r w:rsidRPr="00737145">
        <w:rPr>
          <w:rFonts w:asciiTheme="minorHAnsi" w:hAnsiTheme="minorHAnsi"/>
          <w:sz w:val="22"/>
          <w:szCs w:val="22"/>
          <w:lang w:val="en-US"/>
        </w:rPr>
        <w:t xml:space="preserve"> or member</w:t>
      </w:r>
      <w:r>
        <w:rPr>
          <w:rFonts w:asciiTheme="minorHAnsi" w:hAnsiTheme="minorHAnsi"/>
          <w:sz w:val="22"/>
          <w:szCs w:val="22"/>
          <w:lang w:val="en-US"/>
        </w:rPr>
        <w:t>s</w:t>
      </w:r>
      <w:r w:rsidRPr="00737145">
        <w:rPr>
          <w:rFonts w:asciiTheme="minorHAnsi" w:hAnsiTheme="minorHAnsi"/>
          <w:sz w:val="22"/>
          <w:szCs w:val="22"/>
          <w:lang w:val="en-US"/>
        </w:rPr>
        <w:t xml:space="preserve"> of their family.</w:t>
      </w:r>
    </w:p>
    <w:p w:rsidR="00D50D1A" w:rsidRDefault="00737145" w:rsidP="00737145">
      <w:pPr>
        <w:pStyle w:val="ListParagraph"/>
        <w:numPr>
          <w:ilvl w:val="0"/>
          <w:numId w:val="2"/>
        </w:numPr>
        <w:rPr>
          <w:rFonts w:asciiTheme="minorHAnsi" w:hAnsiTheme="minorHAnsi"/>
          <w:sz w:val="22"/>
          <w:szCs w:val="22"/>
          <w:lang w:val="en-US"/>
        </w:rPr>
      </w:pPr>
      <w:r w:rsidRPr="00737145">
        <w:rPr>
          <w:rFonts w:asciiTheme="minorHAnsi" w:hAnsiTheme="minorHAnsi"/>
          <w:sz w:val="22"/>
          <w:szCs w:val="22"/>
          <w:lang w:val="en-US"/>
        </w:rPr>
        <w:t xml:space="preserve">As Support Providers work on a freelance basis, </w:t>
      </w:r>
      <w:r w:rsidR="00D50D1A" w:rsidRPr="00737145">
        <w:rPr>
          <w:rFonts w:asciiTheme="minorHAnsi" w:hAnsiTheme="minorHAnsi"/>
          <w:sz w:val="22"/>
          <w:szCs w:val="22"/>
          <w:lang w:val="en-US"/>
        </w:rPr>
        <w:t xml:space="preserve">100% </w:t>
      </w:r>
      <w:r>
        <w:rPr>
          <w:rFonts w:asciiTheme="minorHAnsi" w:hAnsiTheme="minorHAnsi"/>
          <w:sz w:val="22"/>
          <w:szCs w:val="22"/>
          <w:lang w:val="en-US"/>
        </w:rPr>
        <w:t xml:space="preserve">support </w:t>
      </w:r>
      <w:r w:rsidR="00D50D1A" w:rsidRPr="00737145">
        <w:rPr>
          <w:rFonts w:asciiTheme="minorHAnsi" w:hAnsiTheme="minorHAnsi"/>
          <w:sz w:val="22"/>
          <w:szCs w:val="22"/>
          <w:lang w:val="en-US"/>
        </w:rPr>
        <w:t xml:space="preserve">cover cannot </w:t>
      </w:r>
      <w:r>
        <w:rPr>
          <w:rFonts w:asciiTheme="minorHAnsi" w:hAnsiTheme="minorHAnsi"/>
          <w:sz w:val="22"/>
          <w:szCs w:val="22"/>
          <w:lang w:val="en-US"/>
        </w:rPr>
        <w:t xml:space="preserve">ever </w:t>
      </w:r>
      <w:r w:rsidR="00D50D1A" w:rsidRPr="00737145">
        <w:rPr>
          <w:rFonts w:asciiTheme="minorHAnsi" w:hAnsiTheme="minorHAnsi"/>
          <w:sz w:val="22"/>
          <w:szCs w:val="22"/>
          <w:lang w:val="en-US"/>
        </w:rPr>
        <w:t>be guaranteed</w:t>
      </w:r>
      <w:r w:rsidRPr="00737145">
        <w:rPr>
          <w:rFonts w:asciiTheme="minorHAnsi" w:hAnsiTheme="minorHAnsi"/>
          <w:sz w:val="22"/>
          <w:szCs w:val="22"/>
          <w:lang w:val="en-US"/>
        </w:rPr>
        <w:t>.</w:t>
      </w:r>
    </w:p>
    <w:p w:rsidR="00A31CE9" w:rsidRPr="00737145" w:rsidRDefault="00A31CE9" w:rsidP="00737145">
      <w:pPr>
        <w:pStyle w:val="ListParagraph"/>
        <w:numPr>
          <w:ilvl w:val="0"/>
          <w:numId w:val="2"/>
        </w:numPr>
        <w:rPr>
          <w:rFonts w:asciiTheme="minorHAnsi" w:hAnsiTheme="minorHAnsi"/>
          <w:sz w:val="22"/>
          <w:szCs w:val="22"/>
          <w:lang w:val="en-US"/>
        </w:rPr>
      </w:pPr>
      <w:r>
        <w:rPr>
          <w:rFonts w:asciiTheme="minorHAnsi" w:hAnsiTheme="minorHAnsi"/>
          <w:sz w:val="22"/>
          <w:szCs w:val="22"/>
          <w:lang w:val="en-US"/>
        </w:rPr>
        <w:t>For their own health and safety as well as that of the student, Support Providers should never engage in any element of personal care, manual handling or lifting.</w:t>
      </w:r>
    </w:p>
    <w:p w:rsidR="00737145" w:rsidRPr="00CB0C77" w:rsidRDefault="00737145" w:rsidP="00737145">
      <w:pPr>
        <w:pStyle w:val="ListParagraph"/>
        <w:numPr>
          <w:ilvl w:val="0"/>
          <w:numId w:val="2"/>
        </w:numPr>
        <w:rPr>
          <w:rFonts w:asciiTheme="minorHAnsi" w:hAnsiTheme="minorHAnsi"/>
          <w:sz w:val="22"/>
          <w:szCs w:val="22"/>
          <w:lang w:val="en-US"/>
        </w:rPr>
      </w:pPr>
      <w:r w:rsidRPr="00737145">
        <w:rPr>
          <w:rFonts w:asciiTheme="minorHAnsi" w:hAnsiTheme="minorHAnsi"/>
          <w:sz w:val="22"/>
          <w:szCs w:val="22"/>
          <w:lang w:val="en-US"/>
        </w:rPr>
        <w:t xml:space="preserve">As </w:t>
      </w:r>
      <w:r w:rsidR="00CB0C77">
        <w:rPr>
          <w:rFonts w:asciiTheme="minorHAnsi" w:hAnsiTheme="minorHAnsi"/>
          <w:sz w:val="22"/>
          <w:szCs w:val="22"/>
          <w:lang w:val="en-US"/>
        </w:rPr>
        <w:t>the Register</w:t>
      </w:r>
      <w:r w:rsidRPr="00737145">
        <w:rPr>
          <w:rFonts w:asciiTheme="minorHAnsi" w:hAnsiTheme="minorHAnsi"/>
          <w:sz w:val="22"/>
          <w:szCs w:val="22"/>
          <w:lang w:val="en-US"/>
        </w:rPr>
        <w:t xml:space="preserve"> does not engage, either partially or wholly, in the provision of blended support</w:t>
      </w:r>
      <w:r>
        <w:rPr>
          <w:rFonts w:asciiTheme="minorHAnsi" w:hAnsiTheme="minorHAnsi"/>
          <w:sz w:val="22"/>
          <w:szCs w:val="22"/>
          <w:lang w:val="en-US"/>
        </w:rPr>
        <w:t>, a blended support package is</w:t>
      </w:r>
      <w:r w:rsidRPr="00737145">
        <w:rPr>
          <w:rFonts w:asciiTheme="minorHAnsi" w:hAnsiTheme="minorHAnsi"/>
          <w:sz w:val="22"/>
          <w:szCs w:val="22"/>
          <w:lang w:val="en-US"/>
        </w:rPr>
        <w:t xml:space="preserve"> not an option </w:t>
      </w:r>
      <w:r>
        <w:rPr>
          <w:rFonts w:asciiTheme="minorHAnsi" w:hAnsiTheme="minorHAnsi"/>
          <w:sz w:val="22"/>
          <w:szCs w:val="22"/>
          <w:lang w:val="en-US"/>
        </w:rPr>
        <w:t xml:space="preserve">available </w:t>
      </w:r>
      <w:r w:rsidRPr="00737145">
        <w:rPr>
          <w:rFonts w:asciiTheme="minorHAnsi" w:hAnsiTheme="minorHAnsi"/>
          <w:sz w:val="22"/>
          <w:szCs w:val="22"/>
          <w:lang w:val="en-US"/>
        </w:rPr>
        <w:t xml:space="preserve">through </w:t>
      </w:r>
      <w:r w:rsidR="00CB0C77" w:rsidRPr="00CB0C77">
        <w:rPr>
          <w:rFonts w:asciiTheme="minorHAnsi" w:hAnsiTheme="minorHAnsi"/>
          <w:sz w:val="22"/>
          <w:szCs w:val="22"/>
        </w:rPr>
        <w:t>the Register of Support Providers</w:t>
      </w:r>
      <w:r w:rsidR="00CB0C77">
        <w:rPr>
          <w:rFonts w:asciiTheme="minorHAnsi" w:hAnsiTheme="minorHAnsi"/>
          <w:sz w:val="22"/>
          <w:szCs w:val="22"/>
        </w:rPr>
        <w:t xml:space="preserve"> at Queen’s</w:t>
      </w:r>
      <w:r w:rsidRPr="00CB0C77">
        <w:rPr>
          <w:rFonts w:asciiTheme="minorHAnsi" w:hAnsiTheme="minorHAnsi"/>
          <w:sz w:val="22"/>
          <w:szCs w:val="22"/>
          <w:lang w:val="en-US"/>
        </w:rPr>
        <w:t>.</w:t>
      </w:r>
    </w:p>
    <w:p w:rsidR="00AE3DC0" w:rsidRPr="00A31CE9" w:rsidRDefault="00AE3DC0" w:rsidP="00737145">
      <w:pPr>
        <w:pStyle w:val="ListParagraph"/>
        <w:numPr>
          <w:ilvl w:val="0"/>
          <w:numId w:val="2"/>
        </w:numPr>
        <w:rPr>
          <w:lang w:val="en-US"/>
        </w:rPr>
      </w:pPr>
      <w:r>
        <w:rPr>
          <w:rFonts w:asciiTheme="minorHAnsi" w:hAnsiTheme="minorHAnsi"/>
          <w:sz w:val="22"/>
          <w:szCs w:val="22"/>
          <w:lang w:val="en-US"/>
        </w:rPr>
        <w:t xml:space="preserve">The Support Provider is responsible for making contact with the student initially.  Thereafter, both parties have equal responsibility for keeping in </w:t>
      </w:r>
      <w:r w:rsidR="00A31CE9">
        <w:rPr>
          <w:rFonts w:asciiTheme="minorHAnsi" w:hAnsiTheme="minorHAnsi"/>
          <w:sz w:val="22"/>
          <w:szCs w:val="22"/>
          <w:lang w:val="en-US"/>
        </w:rPr>
        <w:t>touch and making arrangements for support sessions.</w:t>
      </w:r>
    </w:p>
    <w:p w:rsidR="00A31CE9" w:rsidRPr="00A31CE9" w:rsidRDefault="00A31CE9" w:rsidP="00A31CE9">
      <w:pPr>
        <w:pStyle w:val="ListParagraph"/>
        <w:numPr>
          <w:ilvl w:val="0"/>
          <w:numId w:val="2"/>
        </w:numPr>
        <w:rPr>
          <w:lang w:val="en-US"/>
        </w:rPr>
      </w:pPr>
      <w:r>
        <w:rPr>
          <w:rFonts w:asciiTheme="minorHAnsi" w:hAnsiTheme="minorHAnsi"/>
          <w:sz w:val="22"/>
          <w:szCs w:val="22"/>
          <w:lang w:val="en-US"/>
        </w:rPr>
        <w:t xml:space="preserve">Both the student and the Support Provider are responsible for giving at least 24 hours’ notice where possible when cancelling a session (for further information, please see the Education Authority’s Cancelled Sessions Policy at </w:t>
      </w:r>
      <w:hyperlink r:id="rId6" w:history="1">
        <w:r w:rsidRPr="00197AD5">
          <w:rPr>
            <w:rStyle w:val="Hyperlink"/>
            <w:rFonts w:asciiTheme="minorHAnsi" w:hAnsiTheme="minorHAnsi"/>
            <w:sz w:val="22"/>
            <w:szCs w:val="22"/>
            <w:lang w:val="en-US"/>
          </w:rPr>
          <w:t>www.qub.ac.uk/directorates/sgc/disability/QueensRegisterofSupportProviders/GuidanceMaterialforSupportProviders/</w:t>
        </w:r>
      </w:hyperlink>
      <w:r>
        <w:rPr>
          <w:rFonts w:asciiTheme="minorHAnsi" w:hAnsiTheme="minorHAnsi"/>
          <w:sz w:val="22"/>
          <w:szCs w:val="22"/>
          <w:lang w:val="en-US"/>
        </w:rPr>
        <w:t>).</w:t>
      </w:r>
    </w:p>
    <w:p w:rsidR="00A31CE9" w:rsidRDefault="00A31CE9" w:rsidP="00A31CE9">
      <w:pPr>
        <w:pStyle w:val="ListParagraph"/>
        <w:numPr>
          <w:ilvl w:val="0"/>
          <w:numId w:val="2"/>
        </w:numPr>
        <w:rPr>
          <w:rFonts w:asciiTheme="minorHAnsi" w:hAnsiTheme="minorHAnsi"/>
          <w:sz w:val="22"/>
          <w:szCs w:val="22"/>
          <w:lang w:val="en-US"/>
        </w:rPr>
      </w:pPr>
      <w:r w:rsidRPr="00A31CE9">
        <w:rPr>
          <w:rFonts w:asciiTheme="minorHAnsi" w:hAnsiTheme="minorHAnsi"/>
          <w:sz w:val="22"/>
          <w:szCs w:val="22"/>
          <w:lang w:val="en-US"/>
        </w:rPr>
        <w:t>For the safety of both parties, support must</w:t>
      </w:r>
      <w:r>
        <w:rPr>
          <w:rFonts w:asciiTheme="minorHAnsi" w:hAnsiTheme="minorHAnsi"/>
          <w:sz w:val="22"/>
          <w:szCs w:val="22"/>
          <w:lang w:val="en-US"/>
        </w:rPr>
        <w:t xml:space="preserve"> </w:t>
      </w:r>
      <w:r w:rsidRPr="00A31CE9">
        <w:rPr>
          <w:rFonts w:asciiTheme="minorHAnsi" w:hAnsiTheme="minorHAnsi"/>
          <w:sz w:val="22"/>
          <w:szCs w:val="22"/>
          <w:lang w:val="en-US"/>
        </w:rPr>
        <w:t xml:space="preserve">be provided in a neutral environment </w:t>
      </w:r>
      <w:r>
        <w:rPr>
          <w:rFonts w:asciiTheme="minorHAnsi" w:hAnsiTheme="minorHAnsi"/>
          <w:sz w:val="22"/>
          <w:szCs w:val="22"/>
          <w:lang w:val="en-US"/>
        </w:rPr>
        <w:t xml:space="preserve">and </w:t>
      </w:r>
      <w:r w:rsidRPr="00A31CE9">
        <w:rPr>
          <w:rFonts w:asciiTheme="minorHAnsi" w:hAnsiTheme="minorHAnsi"/>
          <w:sz w:val="22"/>
          <w:szCs w:val="22"/>
          <w:lang w:val="en-US"/>
        </w:rPr>
        <w:t xml:space="preserve">not take place in </w:t>
      </w:r>
      <w:r>
        <w:rPr>
          <w:rFonts w:asciiTheme="minorHAnsi" w:hAnsiTheme="minorHAnsi"/>
          <w:sz w:val="22"/>
          <w:szCs w:val="22"/>
          <w:lang w:val="en-US"/>
        </w:rPr>
        <w:t xml:space="preserve">either </w:t>
      </w:r>
      <w:r w:rsidRPr="00A31CE9">
        <w:rPr>
          <w:rFonts w:asciiTheme="minorHAnsi" w:hAnsiTheme="minorHAnsi"/>
          <w:sz w:val="22"/>
          <w:szCs w:val="22"/>
          <w:lang w:val="en-US"/>
        </w:rPr>
        <w:t xml:space="preserve">the </w:t>
      </w:r>
      <w:r>
        <w:rPr>
          <w:rFonts w:asciiTheme="minorHAnsi" w:hAnsiTheme="minorHAnsi"/>
          <w:sz w:val="22"/>
          <w:szCs w:val="22"/>
          <w:lang w:val="en-US"/>
        </w:rPr>
        <w:t>lodgings</w:t>
      </w:r>
      <w:r w:rsidRPr="00A31CE9">
        <w:rPr>
          <w:rFonts w:asciiTheme="minorHAnsi" w:hAnsiTheme="minorHAnsi"/>
          <w:sz w:val="22"/>
          <w:szCs w:val="22"/>
          <w:lang w:val="en-US"/>
        </w:rPr>
        <w:t xml:space="preserve"> of the student or the Support Provider.  </w:t>
      </w:r>
    </w:p>
    <w:p w:rsidR="007D2AA6" w:rsidRPr="007D2AA6" w:rsidRDefault="007D2AA6" w:rsidP="00A31CE9">
      <w:pPr>
        <w:pStyle w:val="ListParagraph"/>
        <w:numPr>
          <w:ilvl w:val="0"/>
          <w:numId w:val="2"/>
        </w:numPr>
        <w:rPr>
          <w:rFonts w:asciiTheme="minorHAnsi" w:hAnsiTheme="minorHAnsi"/>
          <w:sz w:val="22"/>
          <w:szCs w:val="22"/>
          <w:lang w:val="en-US"/>
        </w:rPr>
      </w:pPr>
      <w:r>
        <w:rPr>
          <w:rFonts w:asciiTheme="minorHAnsi" w:hAnsiTheme="minorHAnsi"/>
          <w:sz w:val="22"/>
          <w:szCs w:val="22"/>
          <w:lang w:val="en-US"/>
        </w:rPr>
        <w:t xml:space="preserve">Support Providers are required to keep confidential any information they </w:t>
      </w:r>
      <w:r w:rsidR="00DA1B96">
        <w:rPr>
          <w:rFonts w:asciiTheme="minorHAnsi" w:hAnsiTheme="minorHAnsi"/>
          <w:sz w:val="22"/>
          <w:szCs w:val="22"/>
          <w:lang w:val="en-US"/>
        </w:rPr>
        <w:t>receive</w:t>
      </w:r>
      <w:r>
        <w:rPr>
          <w:rFonts w:asciiTheme="minorHAnsi" w:hAnsiTheme="minorHAnsi"/>
          <w:sz w:val="22"/>
          <w:szCs w:val="22"/>
          <w:lang w:val="en-US"/>
        </w:rPr>
        <w:t xml:space="preserve"> relating to the</w:t>
      </w:r>
      <w:r w:rsidR="0088726B">
        <w:rPr>
          <w:rFonts w:asciiTheme="minorHAnsi" w:hAnsiTheme="minorHAnsi"/>
          <w:sz w:val="22"/>
          <w:szCs w:val="22"/>
          <w:lang w:val="en-US"/>
        </w:rPr>
        <w:t>ir students</w:t>
      </w:r>
      <w:r>
        <w:rPr>
          <w:rFonts w:asciiTheme="minorHAnsi" w:hAnsiTheme="minorHAnsi"/>
          <w:sz w:val="22"/>
          <w:szCs w:val="22"/>
          <w:lang w:val="en-US"/>
        </w:rPr>
        <w:t xml:space="preserve">. </w:t>
      </w:r>
      <w:r w:rsidR="00DA1B96">
        <w:rPr>
          <w:rFonts w:asciiTheme="minorHAnsi" w:hAnsiTheme="minorHAnsi"/>
          <w:sz w:val="22"/>
          <w:szCs w:val="22"/>
          <w:lang w:val="en-US"/>
        </w:rPr>
        <w:t xml:space="preserve"> </w:t>
      </w:r>
      <w:r w:rsidR="0088726B">
        <w:rPr>
          <w:rFonts w:asciiTheme="minorHAnsi" w:hAnsiTheme="minorHAnsi" w:cs="Avenir LT Std 35 Light"/>
          <w:color w:val="000000"/>
          <w:sz w:val="22"/>
          <w:szCs w:val="22"/>
        </w:rPr>
        <w:t>They</w:t>
      </w:r>
      <w:r w:rsidRPr="007D2AA6">
        <w:rPr>
          <w:rFonts w:asciiTheme="minorHAnsi" w:hAnsiTheme="minorHAnsi" w:cs="Avenir LT Std 35 Light"/>
          <w:color w:val="000000"/>
          <w:sz w:val="22"/>
          <w:szCs w:val="22"/>
        </w:rPr>
        <w:t xml:space="preserve"> are </w:t>
      </w:r>
      <w:r w:rsidR="00DA1B96">
        <w:rPr>
          <w:rFonts w:asciiTheme="minorHAnsi" w:hAnsiTheme="minorHAnsi" w:cs="Avenir LT Std 35 Light"/>
          <w:color w:val="000000"/>
          <w:sz w:val="22"/>
          <w:szCs w:val="22"/>
        </w:rPr>
        <w:t>very aware</w:t>
      </w:r>
      <w:r w:rsidRPr="007D2AA6">
        <w:rPr>
          <w:rFonts w:asciiTheme="minorHAnsi" w:hAnsiTheme="minorHAnsi" w:cs="Avenir LT Std 35 Light"/>
          <w:color w:val="000000"/>
          <w:sz w:val="22"/>
          <w:szCs w:val="22"/>
        </w:rPr>
        <w:t xml:space="preserve"> of the importance of safeguarding student information and of adhering to Queen’s Data Protection policy</w:t>
      </w:r>
      <w:r>
        <w:rPr>
          <w:rFonts w:asciiTheme="minorHAnsi" w:hAnsiTheme="minorHAnsi" w:cs="Avenir LT Std 35 Light"/>
          <w:color w:val="000000"/>
          <w:sz w:val="22"/>
          <w:szCs w:val="22"/>
        </w:rPr>
        <w:t>.</w:t>
      </w:r>
    </w:p>
    <w:p w:rsidR="007D2AA6" w:rsidRDefault="007D2AA6" w:rsidP="00A31CE9">
      <w:pPr>
        <w:pStyle w:val="ListParagraph"/>
        <w:numPr>
          <w:ilvl w:val="0"/>
          <w:numId w:val="2"/>
        </w:numPr>
        <w:rPr>
          <w:rFonts w:asciiTheme="minorHAnsi" w:hAnsiTheme="minorHAnsi"/>
          <w:sz w:val="22"/>
          <w:szCs w:val="22"/>
          <w:lang w:val="en-US"/>
        </w:rPr>
      </w:pPr>
      <w:r>
        <w:rPr>
          <w:rFonts w:asciiTheme="minorHAnsi" w:hAnsiTheme="minorHAnsi"/>
          <w:sz w:val="22"/>
          <w:szCs w:val="22"/>
          <w:lang w:val="en-US"/>
        </w:rPr>
        <w:t xml:space="preserve">It is </w:t>
      </w:r>
      <w:r w:rsidR="00DA1B96">
        <w:rPr>
          <w:rFonts w:asciiTheme="minorHAnsi" w:hAnsiTheme="minorHAnsi"/>
          <w:sz w:val="22"/>
          <w:szCs w:val="22"/>
          <w:lang w:val="en-US"/>
        </w:rPr>
        <w:t>essential</w:t>
      </w:r>
      <w:r>
        <w:rPr>
          <w:rFonts w:asciiTheme="minorHAnsi" w:hAnsiTheme="minorHAnsi"/>
          <w:sz w:val="22"/>
          <w:szCs w:val="22"/>
          <w:lang w:val="en-US"/>
        </w:rPr>
        <w:t xml:space="preserve"> that students take responsibility for their own learning experience.  If a student feels that </w:t>
      </w:r>
      <w:r w:rsidR="00CB0C77">
        <w:rPr>
          <w:rFonts w:asciiTheme="minorHAnsi" w:hAnsiTheme="minorHAnsi"/>
          <w:sz w:val="22"/>
          <w:szCs w:val="22"/>
          <w:lang w:val="en-US"/>
        </w:rPr>
        <w:t>they are</w:t>
      </w:r>
      <w:r>
        <w:rPr>
          <w:rFonts w:asciiTheme="minorHAnsi" w:hAnsiTheme="minorHAnsi"/>
          <w:sz w:val="22"/>
          <w:szCs w:val="22"/>
          <w:lang w:val="en-US"/>
        </w:rPr>
        <w:t xml:space="preserve"> not receiving the appropriate support, is dissatisfied with the quality of their one-to-one support or has concerns that a Support Provider is not acting in a professional manner, </w:t>
      </w:r>
      <w:r w:rsidR="00CB0C77">
        <w:rPr>
          <w:rFonts w:asciiTheme="minorHAnsi" w:hAnsiTheme="minorHAnsi"/>
          <w:sz w:val="22"/>
          <w:szCs w:val="22"/>
          <w:lang w:val="en-US"/>
        </w:rPr>
        <w:t>they</w:t>
      </w:r>
      <w:r>
        <w:rPr>
          <w:rFonts w:asciiTheme="minorHAnsi" w:hAnsiTheme="minorHAnsi"/>
          <w:sz w:val="22"/>
          <w:szCs w:val="22"/>
          <w:lang w:val="en-US"/>
        </w:rPr>
        <w:t xml:space="preserve"> should </w:t>
      </w:r>
      <w:r w:rsidR="00CB0C77" w:rsidRPr="00CB0C77">
        <w:rPr>
          <w:rFonts w:asciiTheme="minorHAnsi" w:hAnsiTheme="minorHAnsi"/>
          <w:sz w:val="22"/>
          <w:szCs w:val="22"/>
          <w:lang w:val="en-US"/>
        </w:rPr>
        <w:t xml:space="preserve">contact </w:t>
      </w:r>
      <w:r w:rsidR="00CB0C77" w:rsidRPr="00CB0C77">
        <w:rPr>
          <w:rFonts w:asciiTheme="minorHAnsi" w:hAnsiTheme="minorHAnsi"/>
          <w:sz w:val="22"/>
          <w:szCs w:val="22"/>
        </w:rPr>
        <w:t>the Register of Support Providers at Queen’s University</w:t>
      </w:r>
      <w:r w:rsidRPr="00CB0C77">
        <w:rPr>
          <w:rFonts w:asciiTheme="minorHAnsi" w:hAnsiTheme="minorHAnsi"/>
          <w:sz w:val="22"/>
          <w:szCs w:val="22"/>
          <w:lang w:val="en-US"/>
        </w:rPr>
        <w:t xml:space="preserve"> as soon as possible with their</w:t>
      </w:r>
      <w:r>
        <w:rPr>
          <w:rFonts w:asciiTheme="minorHAnsi" w:hAnsiTheme="minorHAnsi"/>
          <w:sz w:val="22"/>
          <w:szCs w:val="22"/>
          <w:lang w:val="en-US"/>
        </w:rPr>
        <w:t xml:space="preserve"> concerns.</w:t>
      </w:r>
    </w:p>
    <w:p w:rsidR="00DA1B96" w:rsidRDefault="00DA1B96" w:rsidP="00DA1B96">
      <w:pPr>
        <w:spacing w:line="240" w:lineRule="auto"/>
        <w:rPr>
          <w:lang w:val="en-US"/>
        </w:rPr>
      </w:pPr>
    </w:p>
    <w:p w:rsidR="00DA1B96" w:rsidRDefault="00DA1B96" w:rsidP="00DA1B96">
      <w:pPr>
        <w:spacing w:line="240" w:lineRule="auto"/>
        <w:rPr>
          <w:b/>
        </w:rPr>
      </w:pPr>
      <w:r>
        <w:rPr>
          <w:b/>
        </w:rPr>
        <w:t>Queries</w:t>
      </w:r>
    </w:p>
    <w:p w:rsidR="00DA1B96" w:rsidRDefault="00DA1B96" w:rsidP="00DA1B96">
      <w:pPr>
        <w:spacing w:line="240" w:lineRule="auto"/>
      </w:pPr>
      <w:r>
        <w:t xml:space="preserve">If you have any queries about the above, please contact </w:t>
      </w:r>
      <w:r w:rsidR="00CB0C77" w:rsidRPr="00CB0C77">
        <w:t>the Register of Support Providers at Queen’s University</w:t>
      </w:r>
      <w:r w:rsidR="00CB0C77" w:rsidRPr="00CB0C77">
        <w:rPr>
          <w:lang w:val="en-US"/>
        </w:rPr>
        <w:t xml:space="preserve"> </w:t>
      </w:r>
      <w:r w:rsidR="00CB0C77">
        <w:rPr>
          <w:lang w:val="en-US"/>
        </w:rPr>
        <w:t xml:space="preserve">at </w:t>
      </w:r>
      <w:hyperlink r:id="rId7" w:history="1">
        <w:r>
          <w:rPr>
            <w:rStyle w:val="Hyperlink"/>
          </w:rPr>
          <w:t>nmhregister@qub.ac.uk</w:t>
        </w:r>
      </w:hyperlink>
      <w:r>
        <w:t xml:space="preserve"> or at 90 973610.</w:t>
      </w:r>
    </w:p>
    <w:p w:rsidR="00DA1B96" w:rsidRPr="00DA1B96" w:rsidRDefault="00DA1B96" w:rsidP="00DA1B96">
      <w:pPr>
        <w:spacing w:line="240" w:lineRule="auto"/>
        <w:rPr>
          <w:lang w:val="en-US"/>
        </w:rPr>
      </w:pPr>
    </w:p>
    <w:p w:rsidR="00D50D1A" w:rsidRDefault="00D50D1A" w:rsidP="00DA1B96">
      <w:pPr>
        <w:spacing w:after="0" w:line="240" w:lineRule="auto"/>
        <w:rPr>
          <w:lang w:val="en-US"/>
        </w:rPr>
      </w:pPr>
    </w:p>
    <w:p w:rsidR="00961E39" w:rsidRPr="00961E39" w:rsidRDefault="00961E39" w:rsidP="00DA1B96">
      <w:pPr>
        <w:spacing w:after="0" w:line="240" w:lineRule="auto"/>
      </w:pPr>
    </w:p>
    <w:p w:rsidR="009B5166" w:rsidRDefault="009B5166" w:rsidP="00DA1B96">
      <w:pPr>
        <w:spacing w:after="0" w:line="240" w:lineRule="auto"/>
      </w:pPr>
    </w:p>
    <w:sectPr w:rsidR="009B5166" w:rsidSect="00AE3DC0">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venir LT Std 35 Light">
    <w:altName w:val="Avenir LT Std 35 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C15B5D"/>
    <w:multiLevelType w:val="hybridMultilevel"/>
    <w:tmpl w:val="8A60E8CC"/>
    <w:lvl w:ilvl="0" w:tplc="9EFA5AEE">
      <w:start w:val="1"/>
      <w:numFmt w:val="bullet"/>
      <w:lvlText w:val="•"/>
      <w:lvlJc w:val="left"/>
      <w:pPr>
        <w:tabs>
          <w:tab w:val="num" w:pos="720"/>
        </w:tabs>
        <w:ind w:left="720" w:hanging="360"/>
      </w:pPr>
      <w:rPr>
        <w:rFonts w:ascii="Times New Roman" w:hAnsi="Times New Roman" w:hint="default"/>
      </w:rPr>
    </w:lvl>
    <w:lvl w:ilvl="1" w:tplc="F4C27EB8" w:tentative="1">
      <w:start w:val="1"/>
      <w:numFmt w:val="bullet"/>
      <w:lvlText w:val="•"/>
      <w:lvlJc w:val="left"/>
      <w:pPr>
        <w:tabs>
          <w:tab w:val="num" w:pos="1440"/>
        </w:tabs>
        <w:ind w:left="1440" w:hanging="360"/>
      </w:pPr>
      <w:rPr>
        <w:rFonts w:ascii="Times New Roman" w:hAnsi="Times New Roman" w:hint="default"/>
      </w:rPr>
    </w:lvl>
    <w:lvl w:ilvl="2" w:tplc="D526ADD2" w:tentative="1">
      <w:start w:val="1"/>
      <w:numFmt w:val="bullet"/>
      <w:lvlText w:val="•"/>
      <w:lvlJc w:val="left"/>
      <w:pPr>
        <w:tabs>
          <w:tab w:val="num" w:pos="2160"/>
        </w:tabs>
        <w:ind w:left="2160" w:hanging="360"/>
      </w:pPr>
      <w:rPr>
        <w:rFonts w:ascii="Times New Roman" w:hAnsi="Times New Roman" w:hint="default"/>
      </w:rPr>
    </w:lvl>
    <w:lvl w:ilvl="3" w:tplc="C4AA5166" w:tentative="1">
      <w:start w:val="1"/>
      <w:numFmt w:val="bullet"/>
      <w:lvlText w:val="•"/>
      <w:lvlJc w:val="left"/>
      <w:pPr>
        <w:tabs>
          <w:tab w:val="num" w:pos="2880"/>
        </w:tabs>
        <w:ind w:left="2880" w:hanging="360"/>
      </w:pPr>
      <w:rPr>
        <w:rFonts w:ascii="Times New Roman" w:hAnsi="Times New Roman" w:hint="default"/>
      </w:rPr>
    </w:lvl>
    <w:lvl w:ilvl="4" w:tplc="45B6DD38" w:tentative="1">
      <w:start w:val="1"/>
      <w:numFmt w:val="bullet"/>
      <w:lvlText w:val="•"/>
      <w:lvlJc w:val="left"/>
      <w:pPr>
        <w:tabs>
          <w:tab w:val="num" w:pos="3600"/>
        </w:tabs>
        <w:ind w:left="3600" w:hanging="360"/>
      </w:pPr>
      <w:rPr>
        <w:rFonts w:ascii="Times New Roman" w:hAnsi="Times New Roman" w:hint="default"/>
      </w:rPr>
    </w:lvl>
    <w:lvl w:ilvl="5" w:tplc="54E44458" w:tentative="1">
      <w:start w:val="1"/>
      <w:numFmt w:val="bullet"/>
      <w:lvlText w:val="•"/>
      <w:lvlJc w:val="left"/>
      <w:pPr>
        <w:tabs>
          <w:tab w:val="num" w:pos="4320"/>
        </w:tabs>
        <w:ind w:left="4320" w:hanging="360"/>
      </w:pPr>
      <w:rPr>
        <w:rFonts w:ascii="Times New Roman" w:hAnsi="Times New Roman" w:hint="default"/>
      </w:rPr>
    </w:lvl>
    <w:lvl w:ilvl="6" w:tplc="5694D554" w:tentative="1">
      <w:start w:val="1"/>
      <w:numFmt w:val="bullet"/>
      <w:lvlText w:val="•"/>
      <w:lvlJc w:val="left"/>
      <w:pPr>
        <w:tabs>
          <w:tab w:val="num" w:pos="5040"/>
        </w:tabs>
        <w:ind w:left="5040" w:hanging="360"/>
      </w:pPr>
      <w:rPr>
        <w:rFonts w:ascii="Times New Roman" w:hAnsi="Times New Roman" w:hint="default"/>
      </w:rPr>
    </w:lvl>
    <w:lvl w:ilvl="7" w:tplc="8D3CBFCC" w:tentative="1">
      <w:start w:val="1"/>
      <w:numFmt w:val="bullet"/>
      <w:lvlText w:val="•"/>
      <w:lvlJc w:val="left"/>
      <w:pPr>
        <w:tabs>
          <w:tab w:val="num" w:pos="5760"/>
        </w:tabs>
        <w:ind w:left="5760" w:hanging="360"/>
      </w:pPr>
      <w:rPr>
        <w:rFonts w:ascii="Times New Roman" w:hAnsi="Times New Roman" w:hint="default"/>
      </w:rPr>
    </w:lvl>
    <w:lvl w:ilvl="8" w:tplc="AB0A0A82"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35693644"/>
    <w:multiLevelType w:val="hybridMultilevel"/>
    <w:tmpl w:val="2BD4E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EE6CAA"/>
    <w:multiLevelType w:val="hybridMultilevel"/>
    <w:tmpl w:val="F7EA7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B87"/>
    <w:rsid w:val="00081E55"/>
    <w:rsid w:val="00086086"/>
    <w:rsid w:val="002A2B35"/>
    <w:rsid w:val="003F6B00"/>
    <w:rsid w:val="00402047"/>
    <w:rsid w:val="00405B87"/>
    <w:rsid w:val="004A6CE7"/>
    <w:rsid w:val="00523332"/>
    <w:rsid w:val="005C1601"/>
    <w:rsid w:val="007065AB"/>
    <w:rsid w:val="00737145"/>
    <w:rsid w:val="007D2AA6"/>
    <w:rsid w:val="0082297E"/>
    <w:rsid w:val="0088726B"/>
    <w:rsid w:val="00961E39"/>
    <w:rsid w:val="009B5166"/>
    <w:rsid w:val="00A31CE9"/>
    <w:rsid w:val="00A8732F"/>
    <w:rsid w:val="00AE3DC0"/>
    <w:rsid w:val="00CB0C77"/>
    <w:rsid w:val="00D50D1A"/>
    <w:rsid w:val="00DA1B96"/>
    <w:rsid w:val="00DE4D8C"/>
    <w:rsid w:val="00E12002"/>
    <w:rsid w:val="00F259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1AC522-7E86-4C83-9462-A72E5444E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1E39"/>
    <w:pPr>
      <w:spacing w:after="0" w:line="240" w:lineRule="auto"/>
      <w:ind w:left="720"/>
      <w:contextualSpacing/>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A31CE9"/>
    <w:rPr>
      <w:color w:val="0563C1" w:themeColor="hyperlink"/>
      <w:u w:val="single"/>
    </w:rPr>
  </w:style>
  <w:style w:type="paragraph" w:styleId="BalloonText">
    <w:name w:val="Balloon Text"/>
    <w:basedOn w:val="Normal"/>
    <w:link w:val="BalloonTextChar"/>
    <w:uiPriority w:val="99"/>
    <w:semiHidden/>
    <w:unhideWhenUsed/>
    <w:rsid w:val="007D2A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2A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7720563">
      <w:bodyDiv w:val="1"/>
      <w:marLeft w:val="0"/>
      <w:marRight w:val="0"/>
      <w:marTop w:val="0"/>
      <w:marBottom w:val="0"/>
      <w:divBdr>
        <w:top w:val="none" w:sz="0" w:space="0" w:color="auto"/>
        <w:left w:val="none" w:sz="0" w:space="0" w:color="auto"/>
        <w:bottom w:val="none" w:sz="0" w:space="0" w:color="auto"/>
        <w:right w:val="none" w:sz="0" w:space="0" w:color="auto"/>
      </w:divBdr>
      <w:divsChild>
        <w:div w:id="2126190224">
          <w:marLeft w:val="547"/>
          <w:marRight w:val="0"/>
          <w:marTop w:val="96"/>
          <w:marBottom w:val="0"/>
          <w:divBdr>
            <w:top w:val="none" w:sz="0" w:space="0" w:color="auto"/>
            <w:left w:val="none" w:sz="0" w:space="0" w:color="auto"/>
            <w:bottom w:val="none" w:sz="0" w:space="0" w:color="auto"/>
            <w:right w:val="none" w:sz="0" w:space="0" w:color="auto"/>
          </w:divBdr>
        </w:div>
      </w:divsChild>
    </w:div>
    <w:div w:id="615408252">
      <w:bodyDiv w:val="1"/>
      <w:marLeft w:val="0"/>
      <w:marRight w:val="0"/>
      <w:marTop w:val="0"/>
      <w:marBottom w:val="0"/>
      <w:divBdr>
        <w:top w:val="none" w:sz="0" w:space="0" w:color="auto"/>
        <w:left w:val="none" w:sz="0" w:space="0" w:color="auto"/>
        <w:bottom w:val="none" w:sz="0" w:space="0" w:color="auto"/>
        <w:right w:val="none" w:sz="0" w:space="0" w:color="auto"/>
      </w:divBdr>
    </w:div>
    <w:div w:id="1418821219">
      <w:bodyDiv w:val="1"/>
      <w:marLeft w:val="0"/>
      <w:marRight w:val="0"/>
      <w:marTop w:val="0"/>
      <w:marBottom w:val="0"/>
      <w:divBdr>
        <w:top w:val="none" w:sz="0" w:space="0" w:color="auto"/>
        <w:left w:val="none" w:sz="0" w:space="0" w:color="auto"/>
        <w:bottom w:val="none" w:sz="0" w:space="0" w:color="auto"/>
        <w:right w:val="none" w:sz="0" w:space="0" w:color="auto"/>
      </w:divBdr>
      <w:divsChild>
        <w:div w:id="1514104941">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mhregister@qub.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qub.ac.uk/directorates/sgc/disability/QueensRegisterofSupportProviders/GuidanceMaterialforSupportProviders/" TargetMode="External"/><Relationship Id="rId5" Type="http://schemas.openxmlformats.org/officeDocument/2006/relationships/hyperlink" Target="http://www.qub.ac.uk/directorates/sgc/disability/QueensRegisterofSupportProvider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982</Words>
  <Characters>5599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Queens University Belfast</Company>
  <LinksUpToDate>false</LinksUpToDate>
  <CharactersWithSpaces>6568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Kirsti Alexander</dc:creator>
  <cp:keywords/>
  <dc:description/>
  <cp:lastModifiedBy>Michelle Graham</cp:lastModifiedBy>
  <cp:revision>2</cp:revision>
  <cp:lastPrinted>2017-09-14T10:31:00Z</cp:lastPrinted>
  <dcterms:created xsi:type="dcterms:W3CDTF">2017-09-14T10:50:00Z</dcterms:created>
  <dcterms:modified xsi:type="dcterms:W3CDTF">2017-09-14T10:50:00Z</dcterms:modified>
</cp:coreProperties>
</file>