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A5" w:rsidRDefault="009338A5" w:rsidP="009338A5">
      <w:pPr>
        <w:spacing w:before="100" w:beforeAutospacing="1" w:after="100" w:afterAutospacing="1" w:line="360" w:lineRule="atLeast"/>
        <w:rPr>
          <w:rFonts w:ascii="AvenirNextLTW04-Regular" w:eastAsia="Times New Roman" w:hAnsi="AvenirNextLTW04-Regular" w:cs="Times New Roman"/>
          <w:b/>
          <w:bCs/>
          <w:color w:val="58595B"/>
          <w:sz w:val="27"/>
          <w:szCs w:val="27"/>
          <w:lang w:eastAsia="en-GB"/>
        </w:rPr>
      </w:pPr>
      <w:r>
        <w:rPr>
          <w:rFonts w:ascii="AvenirNextLTW04-Regular" w:eastAsia="Times New Roman" w:hAnsi="AvenirNextLTW04-Regular" w:cs="Times New Roman"/>
          <w:b/>
          <w:bCs/>
          <w:color w:val="58595B"/>
          <w:sz w:val="27"/>
          <w:szCs w:val="27"/>
          <w:lang w:eastAsia="en-GB"/>
        </w:rPr>
        <w:t>Supports Available</w:t>
      </w:r>
    </w:p>
    <w:p w:rsidR="009338A5" w:rsidRPr="009338A5" w:rsidRDefault="009338A5" w:rsidP="009338A5">
      <w:pPr>
        <w:spacing w:before="100" w:beforeAutospacing="1" w:after="100" w:afterAutospacing="1" w:line="360" w:lineRule="atLeast"/>
        <w:rPr>
          <w:rFonts w:ascii="AvenirNextLTW04-Regular" w:eastAsia="Times New Roman" w:hAnsi="AvenirNextLTW04-Regular" w:cs="Times New Roman"/>
          <w:color w:val="58595B"/>
          <w:sz w:val="27"/>
          <w:szCs w:val="27"/>
          <w:lang w:eastAsia="en-GB"/>
        </w:rPr>
      </w:pPr>
      <w:r w:rsidRPr="009338A5">
        <w:rPr>
          <w:rFonts w:ascii="AvenirNextLTW04-Regular" w:eastAsia="Times New Roman" w:hAnsi="AvenirNextLTW04-Regular" w:cs="Times New Roman"/>
          <w:b/>
          <w:bCs/>
          <w:color w:val="58595B"/>
          <w:sz w:val="27"/>
          <w:szCs w:val="27"/>
          <w:lang w:eastAsia="en-GB"/>
        </w:rPr>
        <w:t>Support is provided to students with a wide range of needs, including:</w:t>
      </w:r>
    </w:p>
    <w:p w:rsidR="009338A5" w:rsidRPr="009338A5" w:rsidRDefault="009338A5" w:rsidP="009338A5">
      <w:pPr>
        <w:numPr>
          <w:ilvl w:val="0"/>
          <w:numId w:val="1"/>
        </w:numPr>
        <w:spacing w:before="240" w:after="240" w:line="360" w:lineRule="atLeast"/>
        <w:rPr>
          <w:rFonts w:ascii="AvenirNextLTW04-Regular" w:eastAsia="Times New Roman" w:hAnsi="AvenirNextLTW04-Regular" w:cs="Times New Roman"/>
          <w:color w:val="C41030"/>
          <w:sz w:val="27"/>
          <w:szCs w:val="27"/>
          <w:lang w:eastAsia="en-GB"/>
        </w:rPr>
      </w:pPr>
      <w:r w:rsidRPr="009338A5">
        <w:rPr>
          <w:rFonts w:ascii="AvenirNextLTW04-Regular" w:eastAsia="Times New Roman" w:hAnsi="AvenirNextLTW04-Regular" w:cs="Times New Roman"/>
          <w:color w:val="58595B"/>
          <w:sz w:val="27"/>
          <w:szCs w:val="27"/>
          <w:lang w:eastAsia="en-GB"/>
        </w:rPr>
        <w:t>Physical and mobility difficulties</w:t>
      </w:r>
    </w:p>
    <w:p w:rsidR="009338A5" w:rsidRPr="009338A5" w:rsidRDefault="009338A5" w:rsidP="009338A5">
      <w:pPr>
        <w:numPr>
          <w:ilvl w:val="0"/>
          <w:numId w:val="1"/>
        </w:numPr>
        <w:spacing w:before="240" w:after="240" w:line="360" w:lineRule="atLeast"/>
        <w:rPr>
          <w:rFonts w:ascii="AvenirNextLTW04-Regular" w:eastAsia="Times New Roman" w:hAnsi="AvenirNextLTW04-Regular" w:cs="Times New Roman"/>
          <w:color w:val="C41030"/>
          <w:sz w:val="27"/>
          <w:szCs w:val="27"/>
          <w:lang w:eastAsia="en-GB"/>
        </w:rPr>
      </w:pPr>
      <w:r w:rsidRPr="009338A5">
        <w:rPr>
          <w:rFonts w:ascii="AvenirNextLTW04-Regular" w:eastAsia="Times New Roman" w:hAnsi="AvenirNextLTW04-Regular" w:cs="Times New Roman"/>
          <w:color w:val="58595B"/>
          <w:sz w:val="27"/>
          <w:szCs w:val="27"/>
          <w:lang w:eastAsia="en-GB"/>
        </w:rPr>
        <w:t>Visual impairment</w:t>
      </w:r>
    </w:p>
    <w:p w:rsidR="009338A5" w:rsidRPr="009338A5" w:rsidRDefault="009338A5" w:rsidP="009338A5">
      <w:pPr>
        <w:numPr>
          <w:ilvl w:val="0"/>
          <w:numId w:val="1"/>
        </w:numPr>
        <w:spacing w:before="240" w:after="240" w:line="360" w:lineRule="atLeast"/>
        <w:rPr>
          <w:rFonts w:ascii="AvenirNextLTW04-Regular" w:eastAsia="Times New Roman" w:hAnsi="AvenirNextLTW04-Regular" w:cs="Times New Roman"/>
          <w:color w:val="C41030"/>
          <w:sz w:val="27"/>
          <w:szCs w:val="27"/>
          <w:lang w:eastAsia="en-GB"/>
        </w:rPr>
      </w:pPr>
      <w:r w:rsidRPr="009338A5">
        <w:rPr>
          <w:rFonts w:ascii="AvenirNextLTW04-Regular" w:eastAsia="Times New Roman" w:hAnsi="AvenirNextLTW04-Regular" w:cs="Times New Roman"/>
          <w:color w:val="58595B"/>
          <w:sz w:val="27"/>
          <w:szCs w:val="27"/>
          <w:lang w:eastAsia="en-GB"/>
        </w:rPr>
        <w:t>Hearing impairment</w:t>
      </w:r>
    </w:p>
    <w:p w:rsidR="009338A5" w:rsidRPr="009338A5" w:rsidRDefault="009338A5" w:rsidP="009338A5">
      <w:pPr>
        <w:numPr>
          <w:ilvl w:val="0"/>
          <w:numId w:val="1"/>
        </w:numPr>
        <w:spacing w:before="240" w:after="240" w:line="360" w:lineRule="atLeast"/>
        <w:rPr>
          <w:rFonts w:ascii="AvenirNextLTW04-Regular" w:eastAsia="Times New Roman" w:hAnsi="AvenirNextLTW04-Regular" w:cs="Times New Roman"/>
          <w:color w:val="C41030"/>
          <w:sz w:val="27"/>
          <w:szCs w:val="27"/>
          <w:lang w:eastAsia="en-GB"/>
        </w:rPr>
      </w:pPr>
      <w:r w:rsidRPr="009338A5">
        <w:rPr>
          <w:rFonts w:ascii="AvenirNextLTW04-Regular" w:eastAsia="Times New Roman" w:hAnsi="AvenirNextLTW04-Regular" w:cs="Times New Roman"/>
          <w:color w:val="58595B"/>
          <w:sz w:val="27"/>
          <w:szCs w:val="27"/>
          <w:lang w:eastAsia="en-GB"/>
        </w:rPr>
        <w:t>Medical conditions</w:t>
      </w:r>
    </w:p>
    <w:p w:rsidR="009338A5" w:rsidRPr="009338A5" w:rsidRDefault="009338A5" w:rsidP="009338A5">
      <w:pPr>
        <w:numPr>
          <w:ilvl w:val="0"/>
          <w:numId w:val="1"/>
        </w:numPr>
        <w:spacing w:before="240" w:after="240" w:line="360" w:lineRule="atLeast"/>
        <w:rPr>
          <w:rFonts w:ascii="AvenirNextLTW04-Regular" w:eastAsia="Times New Roman" w:hAnsi="AvenirNextLTW04-Regular" w:cs="Times New Roman"/>
          <w:color w:val="C41030"/>
          <w:sz w:val="27"/>
          <w:szCs w:val="27"/>
          <w:lang w:eastAsia="en-GB"/>
        </w:rPr>
      </w:pPr>
      <w:r w:rsidRPr="009338A5">
        <w:rPr>
          <w:rFonts w:ascii="AvenirNextLTW04-Regular" w:eastAsia="Times New Roman" w:hAnsi="AvenirNextLTW04-Regular" w:cs="Times New Roman"/>
          <w:color w:val="58595B"/>
          <w:sz w:val="27"/>
          <w:szCs w:val="27"/>
          <w:lang w:eastAsia="en-GB"/>
        </w:rPr>
        <w:t>Specific learning difficulties e.g. dyslexia</w:t>
      </w:r>
    </w:p>
    <w:p w:rsidR="009338A5" w:rsidRPr="009338A5" w:rsidRDefault="009338A5" w:rsidP="009338A5">
      <w:pPr>
        <w:numPr>
          <w:ilvl w:val="0"/>
          <w:numId w:val="1"/>
        </w:numPr>
        <w:spacing w:before="240" w:after="240" w:line="360" w:lineRule="atLeast"/>
        <w:rPr>
          <w:rFonts w:ascii="AvenirNextLTW04-Regular" w:eastAsia="Times New Roman" w:hAnsi="AvenirNextLTW04-Regular" w:cs="Times New Roman"/>
          <w:color w:val="C41030"/>
          <w:sz w:val="27"/>
          <w:szCs w:val="27"/>
          <w:lang w:eastAsia="en-GB"/>
        </w:rPr>
      </w:pPr>
      <w:r w:rsidRPr="009338A5">
        <w:rPr>
          <w:rFonts w:ascii="AvenirNextLTW04-Regular" w:eastAsia="Times New Roman" w:hAnsi="AvenirNextLTW04-Regular" w:cs="Times New Roman"/>
          <w:color w:val="58595B"/>
          <w:sz w:val="27"/>
          <w:szCs w:val="27"/>
          <w:lang w:eastAsia="en-GB"/>
        </w:rPr>
        <w:t>Mental health </w:t>
      </w:r>
    </w:p>
    <w:p w:rsidR="009338A5" w:rsidRPr="009338A5" w:rsidRDefault="009338A5" w:rsidP="009338A5">
      <w:pPr>
        <w:spacing w:before="100" w:beforeAutospacing="1" w:after="100" w:afterAutospacing="1" w:line="360" w:lineRule="atLeast"/>
        <w:rPr>
          <w:rFonts w:ascii="AvenirNextLTW04-Regular" w:eastAsia="Times New Roman" w:hAnsi="AvenirNextLTW04-Regular" w:cs="Times New Roman"/>
          <w:color w:val="58595B"/>
          <w:sz w:val="27"/>
          <w:szCs w:val="27"/>
          <w:lang w:eastAsia="en-GB"/>
        </w:rPr>
      </w:pPr>
      <w:r w:rsidRPr="009338A5">
        <w:rPr>
          <w:rFonts w:ascii="AvenirNextLTW04-Regular" w:eastAsia="Times New Roman" w:hAnsi="AvenirNextLTW04-Regular" w:cs="Times New Roman"/>
          <w:b/>
          <w:bCs/>
          <w:color w:val="58595B"/>
          <w:sz w:val="27"/>
          <w:szCs w:val="27"/>
          <w:lang w:eastAsia="en-GB"/>
        </w:rPr>
        <w:br/>
        <w:t>Support available varies and will be tailored to meet individual requirements, but may include the following:</w:t>
      </w:r>
    </w:p>
    <w:p w:rsidR="009338A5" w:rsidRPr="009338A5" w:rsidRDefault="009338A5" w:rsidP="009338A5">
      <w:pPr>
        <w:numPr>
          <w:ilvl w:val="0"/>
          <w:numId w:val="2"/>
        </w:numPr>
        <w:spacing w:before="240" w:after="240" w:line="360" w:lineRule="atLeast"/>
        <w:rPr>
          <w:rFonts w:ascii="AvenirNextLTW04-Regular" w:eastAsia="Times New Roman" w:hAnsi="AvenirNextLTW04-Regular" w:cs="Times New Roman"/>
          <w:color w:val="C41030"/>
          <w:sz w:val="27"/>
          <w:szCs w:val="27"/>
          <w:lang w:eastAsia="en-GB"/>
        </w:rPr>
      </w:pPr>
      <w:r>
        <w:rPr>
          <w:rFonts w:ascii="AvenirNextLTW04-Regular" w:eastAsia="Times New Roman" w:hAnsi="AvenirNextLTW04-Regular" w:cs="Times New Roman"/>
          <w:color w:val="58595B"/>
          <w:sz w:val="27"/>
          <w:szCs w:val="27"/>
          <w:lang w:eastAsia="en-GB"/>
        </w:rPr>
        <w:t>Recommending reasonable adjustments to a student’s chosen course of study that ensure equitable access to teaching and learning opportunities</w:t>
      </w:r>
    </w:p>
    <w:p w:rsidR="009338A5" w:rsidRPr="009338A5" w:rsidRDefault="009338A5" w:rsidP="009338A5">
      <w:pPr>
        <w:numPr>
          <w:ilvl w:val="0"/>
          <w:numId w:val="2"/>
        </w:numPr>
        <w:spacing w:before="240" w:after="240" w:line="360" w:lineRule="atLeast"/>
        <w:rPr>
          <w:rFonts w:ascii="AvenirNextLTW04-Regular" w:eastAsia="Times New Roman" w:hAnsi="AvenirNextLTW04-Regular" w:cs="Times New Roman"/>
          <w:color w:val="C41030"/>
          <w:sz w:val="27"/>
          <w:szCs w:val="27"/>
          <w:lang w:eastAsia="en-GB"/>
        </w:rPr>
      </w:pPr>
      <w:r w:rsidRPr="009338A5">
        <w:rPr>
          <w:rFonts w:ascii="AvenirNextLTW04-Regular" w:eastAsia="Times New Roman" w:hAnsi="AvenirNextLTW04-Regular" w:cs="Times New Roman"/>
          <w:color w:val="58595B"/>
          <w:sz w:val="27"/>
          <w:szCs w:val="27"/>
          <w:lang w:eastAsia="en-GB"/>
        </w:rPr>
        <w:t>Liaising with staff, tutors, library services and the exams office to ensure that they are aware of your requirements</w:t>
      </w:r>
    </w:p>
    <w:p w:rsidR="009338A5" w:rsidRPr="009338A5" w:rsidRDefault="009338A5" w:rsidP="009338A5">
      <w:pPr>
        <w:numPr>
          <w:ilvl w:val="0"/>
          <w:numId w:val="2"/>
        </w:numPr>
        <w:spacing w:before="240" w:after="240" w:line="360" w:lineRule="atLeast"/>
        <w:rPr>
          <w:rFonts w:ascii="AvenirNextLTW04-Regular" w:eastAsia="Times New Roman" w:hAnsi="AvenirNextLTW04-Regular" w:cs="Times New Roman"/>
          <w:color w:val="C41030"/>
          <w:sz w:val="27"/>
          <w:szCs w:val="27"/>
          <w:lang w:eastAsia="en-GB"/>
        </w:rPr>
      </w:pPr>
      <w:r w:rsidRPr="009338A5">
        <w:rPr>
          <w:rFonts w:ascii="AvenirNextLTW04-Regular" w:eastAsia="Times New Roman" w:hAnsi="AvenirNextLTW04-Regular" w:cs="Times New Roman"/>
          <w:color w:val="58595B"/>
          <w:sz w:val="27"/>
          <w:szCs w:val="27"/>
          <w:lang w:eastAsia="en-GB"/>
        </w:rPr>
        <w:t>Assisting with your application for Disabled Students' Allowance (DSA) through the Needs Assessment Centre. DSA is available to students who are UK resident and studying an eligible full time or part time undergraduate or postgraduate course.</w:t>
      </w:r>
    </w:p>
    <w:p w:rsidR="009338A5" w:rsidRPr="009338A5" w:rsidRDefault="009338A5" w:rsidP="009338A5">
      <w:pPr>
        <w:spacing w:before="100" w:beforeAutospacing="1" w:after="100" w:afterAutospacing="1" w:line="360" w:lineRule="atLeast"/>
        <w:rPr>
          <w:rFonts w:ascii="AvenirNextLTW04-Regular" w:eastAsia="Times New Roman" w:hAnsi="AvenirNextLTW04-Regular" w:cs="Times New Roman"/>
          <w:color w:val="58595B"/>
          <w:sz w:val="27"/>
          <w:szCs w:val="27"/>
          <w:lang w:eastAsia="en-GB"/>
        </w:rPr>
      </w:pPr>
      <w:r w:rsidRPr="009338A5">
        <w:rPr>
          <w:rFonts w:ascii="AvenirNextLTW04-Regular" w:eastAsia="Times New Roman" w:hAnsi="AvenirNextLTW04-Regular" w:cs="Times New Roman"/>
          <w:b/>
          <w:bCs/>
          <w:color w:val="58595B"/>
          <w:sz w:val="27"/>
          <w:szCs w:val="27"/>
          <w:lang w:eastAsia="en-GB"/>
        </w:rPr>
        <w:br/>
        <w:t>Click on the below links for more information:</w:t>
      </w:r>
    </w:p>
    <w:p w:rsidR="009338A5" w:rsidRPr="009338A5" w:rsidRDefault="00A36341" w:rsidP="009338A5">
      <w:pPr>
        <w:numPr>
          <w:ilvl w:val="0"/>
          <w:numId w:val="3"/>
        </w:numPr>
        <w:spacing w:before="240" w:after="240" w:line="360" w:lineRule="atLeast"/>
        <w:rPr>
          <w:rFonts w:ascii="AvenirNextLTW04-Regular" w:eastAsia="Times New Roman" w:hAnsi="AvenirNextLTW04-Regular" w:cs="Times New Roman"/>
          <w:color w:val="C41030"/>
          <w:sz w:val="27"/>
          <w:szCs w:val="27"/>
          <w:lang w:eastAsia="en-GB"/>
        </w:rPr>
      </w:pPr>
      <w:hyperlink r:id="rId5" w:anchor="d.en.678466" w:history="1">
        <w:r w:rsidR="009338A5" w:rsidRPr="009338A5">
          <w:rPr>
            <w:rFonts w:ascii="AvenirNextLTW04-Regular" w:eastAsia="Times New Roman" w:hAnsi="AvenirNextLTW04-Regular" w:cs="Times New Roman"/>
            <w:color w:val="C41030"/>
            <w:sz w:val="27"/>
            <w:szCs w:val="27"/>
            <w:u w:val="single"/>
            <w:lang w:eastAsia="en-GB"/>
          </w:rPr>
          <w:t>Academic Support</w:t>
        </w:r>
      </w:hyperlink>
    </w:p>
    <w:p w:rsidR="009338A5" w:rsidRPr="009338A5" w:rsidRDefault="00A36341" w:rsidP="009338A5">
      <w:pPr>
        <w:numPr>
          <w:ilvl w:val="0"/>
          <w:numId w:val="3"/>
        </w:numPr>
        <w:spacing w:before="240" w:after="240" w:line="360" w:lineRule="atLeast"/>
        <w:rPr>
          <w:rFonts w:ascii="AvenirNextLTW04-Regular" w:eastAsia="Times New Roman" w:hAnsi="AvenirNextLTW04-Regular" w:cs="Times New Roman"/>
          <w:color w:val="C41030"/>
          <w:sz w:val="27"/>
          <w:szCs w:val="27"/>
          <w:lang w:eastAsia="en-GB"/>
        </w:rPr>
      </w:pPr>
      <w:hyperlink r:id="rId6" w:anchor="d.en.678468" w:history="1">
        <w:r w:rsidR="009338A5" w:rsidRPr="009338A5">
          <w:rPr>
            <w:rFonts w:ascii="AvenirNextLTW04-Regular" w:eastAsia="Times New Roman" w:hAnsi="AvenirNextLTW04-Regular" w:cs="Times New Roman"/>
            <w:color w:val="C41030"/>
            <w:sz w:val="27"/>
            <w:szCs w:val="27"/>
            <w:u w:val="single"/>
            <w:lang w:eastAsia="en-GB"/>
          </w:rPr>
          <w:t>Assistive Technology</w:t>
        </w:r>
      </w:hyperlink>
    </w:p>
    <w:p w:rsidR="009338A5" w:rsidRPr="009338A5" w:rsidRDefault="00A36341" w:rsidP="009338A5">
      <w:pPr>
        <w:numPr>
          <w:ilvl w:val="0"/>
          <w:numId w:val="3"/>
        </w:numPr>
        <w:spacing w:before="240" w:after="240" w:line="360" w:lineRule="atLeast"/>
        <w:rPr>
          <w:rFonts w:ascii="AvenirNextLTW04-Regular" w:eastAsia="Times New Roman" w:hAnsi="AvenirNextLTW04-Regular" w:cs="Times New Roman"/>
          <w:color w:val="C41030"/>
          <w:sz w:val="27"/>
          <w:szCs w:val="27"/>
          <w:lang w:eastAsia="en-GB"/>
        </w:rPr>
      </w:pPr>
      <w:hyperlink r:id="rId7" w:anchor="d.en.678469" w:history="1">
        <w:r w:rsidR="009338A5" w:rsidRPr="009338A5">
          <w:rPr>
            <w:rFonts w:ascii="AvenirNextLTW04-Regular" w:eastAsia="Times New Roman" w:hAnsi="AvenirNextLTW04-Regular" w:cs="Times New Roman"/>
            <w:color w:val="C41030"/>
            <w:sz w:val="27"/>
            <w:szCs w:val="27"/>
            <w:u w:val="single"/>
            <w:lang w:eastAsia="en-GB"/>
          </w:rPr>
          <w:t>Funding</w:t>
        </w:r>
      </w:hyperlink>
    </w:p>
    <w:p w:rsidR="009338A5" w:rsidRPr="009338A5" w:rsidRDefault="00A36341" w:rsidP="009338A5">
      <w:pPr>
        <w:numPr>
          <w:ilvl w:val="0"/>
          <w:numId w:val="3"/>
        </w:numPr>
        <w:spacing w:before="240" w:after="240" w:line="360" w:lineRule="atLeast"/>
        <w:rPr>
          <w:rFonts w:ascii="AvenirNextLTW04-Regular" w:eastAsia="Times New Roman" w:hAnsi="AvenirNextLTW04-Regular" w:cs="Times New Roman"/>
          <w:color w:val="C41030"/>
          <w:sz w:val="27"/>
          <w:szCs w:val="27"/>
          <w:lang w:eastAsia="en-GB"/>
        </w:rPr>
      </w:pPr>
      <w:hyperlink r:id="rId8" w:anchor="d.en.678470" w:history="1">
        <w:r w:rsidR="009338A5" w:rsidRPr="009338A5">
          <w:rPr>
            <w:rFonts w:ascii="AvenirNextLTW04-Regular" w:eastAsia="Times New Roman" w:hAnsi="AvenirNextLTW04-Regular" w:cs="Times New Roman"/>
            <w:color w:val="C41030"/>
            <w:sz w:val="27"/>
            <w:szCs w:val="27"/>
            <w:u w:val="single"/>
            <w:lang w:eastAsia="en-GB"/>
          </w:rPr>
          <w:t>Library Support</w:t>
        </w:r>
      </w:hyperlink>
    </w:p>
    <w:p w:rsidR="009338A5" w:rsidRPr="009338A5" w:rsidRDefault="00A36341" w:rsidP="009338A5">
      <w:pPr>
        <w:numPr>
          <w:ilvl w:val="0"/>
          <w:numId w:val="3"/>
        </w:numPr>
        <w:spacing w:before="240" w:after="240" w:line="360" w:lineRule="atLeast"/>
        <w:rPr>
          <w:rFonts w:ascii="AvenirNextLTW04-Regular" w:eastAsia="Times New Roman" w:hAnsi="AvenirNextLTW04-Regular" w:cs="Times New Roman"/>
          <w:color w:val="C41030"/>
          <w:sz w:val="27"/>
          <w:szCs w:val="27"/>
          <w:lang w:eastAsia="en-GB"/>
        </w:rPr>
      </w:pPr>
      <w:hyperlink r:id="rId9" w:anchor="d.en.678471" w:history="1">
        <w:r w:rsidR="009338A5" w:rsidRPr="009338A5">
          <w:rPr>
            <w:rFonts w:ascii="AvenirNextLTW04-Regular" w:eastAsia="Times New Roman" w:hAnsi="AvenirNextLTW04-Regular" w:cs="Times New Roman"/>
            <w:color w:val="C41030"/>
            <w:sz w:val="27"/>
            <w:szCs w:val="27"/>
            <w:u w:val="single"/>
            <w:lang w:eastAsia="en-GB"/>
          </w:rPr>
          <w:t>Support Providers</w:t>
        </w:r>
      </w:hyperlink>
    </w:p>
    <w:p w:rsidR="009338A5" w:rsidRPr="00A36341" w:rsidRDefault="00A36341" w:rsidP="009338A5">
      <w:pPr>
        <w:numPr>
          <w:ilvl w:val="0"/>
          <w:numId w:val="3"/>
        </w:numPr>
        <w:spacing w:before="240" w:after="240" w:line="360" w:lineRule="atLeast"/>
        <w:rPr>
          <w:rFonts w:ascii="AvenirNextLTW04-Regular" w:eastAsia="Times New Roman" w:hAnsi="AvenirNextLTW04-Regular" w:cs="Times New Roman"/>
          <w:color w:val="C41030"/>
          <w:sz w:val="27"/>
          <w:szCs w:val="27"/>
          <w:lang w:eastAsia="en-GB"/>
        </w:rPr>
      </w:pPr>
      <w:hyperlink r:id="rId10" w:anchor="d.en.678472" w:history="1">
        <w:r w:rsidR="009338A5" w:rsidRPr="009338A5">
          <w:rPr>
            <w:rFonts w:ascii="AvenirNextLTW04-Regular" w:eastAsia="Times New Roman" w:hAnsi="AvenirNextLTW04-Regular" w:cs="Times New Roman"/>
            <w:color w:val="C41030"/>
            <w:sz w:val="27"/>
            <w:szCs w:val="27"/>
            <w:u w:val="single"/>
            <w:lang w:eastAsia="en-GB"/>
          </w:rPr>
          <w:t>Examination Support</w:t>
        </w:r>
      </w:hyperlink>
    </w:p>
    <w:p w:rsidR="00A36341" w:rsidRPr="009338A5" w:rsidRDefault="00A36341" w:rsidP="009338A5">
      <w:pPr>
        <w:numPr>
          <w:ilvl w:val="0"/>
          <w:numId w:val="3"/>
        </w:numPr>
        <w:spacing w:before="240" w:after="240" w:line="360" w:lineRule="atLeast"/>
        <w:rPr>
          <w:rFonts w:ascii="AvenirNextLTW04-Regular" w:eastAsia="Times New Roman" w:hAnsi="AvenirNextLTW04-Regular" w:cs="Times New Roman"/>
          <w:color w:val="C41030"/>
          <w:sz w:val="27"/>
          <w:szCs w:val="27"/>
          <w:lang w:eastAsia="en-GB"/>
        </w:rPr>
      </w:pPr>
      <w:r>
        <w:rPr>
          <w:rFonts w:ascii="AvenirNextLTW04-Regular" w:eastAsia="Times New Roman" w:hAnsi="AvenirNextLTW04-Regular" w:cs="Times New Roman"/>
          <w:color w:val="C41030"/>
          <w:sz w:val="27"/>
          <w:szCs w:val="27"/>
          <w:u w:val="single"/>
          <w:lang w:eastAsia="en-GB"/>
        </w:rPr>
        <w:t>Peer Support (add link and section info)</w:t>
      </w:r>
      <w:bookmarkStart w:id="0" w:name="_GoBack"/>
      <w:bookmarkEnd w:id="0"/>
    </w:p>
    <w:p w:rsidR="009338A5" w:rsidRPr="009338A5" w:rsidRDefault="00A36341" w:rsidP="009338A5">
      <w:pPr>
        <w:numPr>
          <w:ilvl w:val="0"/>
          <w:numId w:val="3"/>
        </w:numPr>
        <w:spacing w:before="240" w:after="240" w:line="360" w:lineRule="atLeast"/>
        <w:rPr>
          <w:rFonts w:ascii="AvenirNextLTW04-Regular" w:eastAsia="Times New Roman" w:hAnsi="AvenirNextLTW04-Regular" w:cs="Times New Roman"/>
          <w:color w:val="C41030"/>
          <w:sz w:val="27"/>
          <w:szCs w:val="27"/>
          <w:lang w:eastAsia="en-GB"/>
        </w:rPr>
      </w:pPr>
      <w:hyperlink r:id="rId11" w:history="1">
        <w:r w:rsidR="009338A5" w:rsidRPr="009338A5">
          <w:rPr>
            <w:rFonts w:ascii="AvenirNextLTW04-Regular" w:eastAsia="Times New Roman" w:hAnsi="AvenirNextLTW04-Regular" w:cs="Times New Roman"/>
            <w:color w:val="C41030"/>
            <w:sz w:val="27"/>
            <w:szCs w:val="27"/>
            <w:u w:val="single"/>
            <w:lang w:eastAsia="en-GB"/>
          </w:rPr>
          <w:t>Careers Support</w:t>
        </w:r>
      </w:hyperlink>
    </w:p>
    <w:p w:rsidR="00477079" w:rsidRDefault="00477079"/>
    <w:sectPr w:rsidR="0047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LTW04-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601"/>
    <w:multiLevelType w:val="multilevel"/>
    <w:tmpl w:val="A92C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91C86"/>
    <w:multiLevelType w:val="multilevel"/>
    <w:tmpl w:val="0C5A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A5426"/>
    <w:multiLevelType w:val="multilevel"/>
    <w:tmpl w:val="F4B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A5"/>
    <w:rsid w:val="00477079"/>
    <w:rsid w:val="00763F35"/>
    <w:rsid w:val="009338A5"/>
    <w:rsid w:val="00A36341"/>
    <w:rsid w:val="00D7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3E17"/>
  <w15:chartTrackingRefBased/>
  <w15:docId w15:val="{DBF2A6FD-5FA8-4C29-8729-BB4AB400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sgc/disability/TypesofSupportAvailable/Library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b.ac.uk/directorates/sgc/disability/TypesofSupportAvailable/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directorates/sgc/disability/TypesofSupportAvailable/AssistiveTechnology/" TargetMode="External"/><Relationship Id="rId11" Type="http://schemas.openxmlformats.org/officeDocument/2006/relationships/hyperlink" Target="http://www.qub.ac.uk/directorates/sgc/careers/StudentsandGraduates/Informationforstudentswithdisabilities/" TargetMode="External"/><Relationship Id="rId5" Type="http://schemas.openxmlformats.org/officeDocument/2006/relationships/hyperlink" Target="http://www.qub.ac.uk/directorates/sgc/disability/TypesofSupportAvailable/AcademicSupport/" TargetMode="External"/><Relationship Id="rId10" Type="http://schemas.openxmlformats.org/officeDocument/2006/relationships/hyperlink" Target="http://www.qub.ac.uk/directorates/sgc/disability/TypesofSupportAvailable/ExaminationSupport/" TargetMode="External"/><Relationship Id="rId4" Type="http://schemas.openxmlformats.org/officeDocument/2006/relationships/webSettings" Target="webSettings.xml"/><Relationship Id="rId9" Type="http://schemas.openxmlformats.org/officeDocument/2006/relationships/hyperlink" Target="http://www.qub.ac.uk/directorates/sgc/disability/TypesofSupportAvailable/Support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Barnes</dc:creator>
  <cp:keywords/>
  <dc:description/>
  <cp:lastModifiedBy>Joanne Barnes</cp:lastModifiedBy>
  <cp:revision>2</cp:revision>
  <dcterms:created xsi:type="dcterms:W3CDTF">2017-09-14T10:41:00Z</dcterms:created>
  <dcterms:modified xsi:type="dcterms:W3CDTF">2017-09-19T08:56:00Z</dcterms:modified>
</cp:coreProperties>
</file>