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00" w:rsidRPr="003853FB" w:rsidRDefault="00DB1DD2" w:rsidP="00DB1DD2">
      <w:pPr>
        <w:spacing w:after="0" w:line="240" w:lineRule="auto"/>
        <w:jc w:val="center"/>
      </w:pPr>
      <w:bookmarkStart w:id="0" w:name="_GoBack"/>
      <w:bookmarkEnd w:id="0"/>
      <w:r w:rsidRPr="003853FB">
        <w:t>The Register of Support Providers at Queen’s University</w:t>
      </w:r>
    </w:p>
    <w:p w:rsidR="00DB1DD2" w:rsidRPr="00DB1DD2" w:rsidRDefault="00DB1DD2" w:rsidP="00DB1DD2">
      <w:pPr>
        <w:spacing w:after="0" w:line="240" w:lineRule="auto"/>
        <w:jc w:val="center"/>
        <w:rPr>
          <w:b/>
        </w:rPr>
      </w:pPr>
    </w:p>
    <w:p w:rsidR="00DB1DD2" w:rsidRPr="003853FB" w:rsidRDefault="00B0231D" w:rsidP="00DB1D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Arrangement</w:t>
      </w:r>
      <w:r w:rsidR="003853FB">
        <w:rPr>
          <w:b/>
          <w:sz w:val="28"/>
          <w:szCs w:val="28"/>
        </w:rPr>
        <w:t xml:space="preserve"> of One-to-One Support</w:t>
      </w:r>
    </w:p>
    <w:p w:rsidR="00DB1DD2" w:rsidRDefault="00DB1DD2" w:rsidP="00DB1DD2">
      <w:pPr>
        <w:spacing w:after="0" w:line="240" w:lineRule="auto"/>
      </w:pPr>
    </w:p>
    <w:p w:rsidR="00B0231D" w:rsidRDefault="00B0231D" w:rsidP="00DB1DD2">
      <w:pPr>
        <w:spacing w:after="0" w:line="240" w:lineRule="auto"/>
      </w:pPr>
    </w:p>
    <w:p w:rsidR="007E7868" w:rsidRDefault="007E7868" w:rsidP="00DB1DD2">
      <w:pPr>
        <w:spacing w:after="0" w:line="240" w:lineRule="auto"/>
      </w:pPr>
    </w:p>
    <w:p w:rsidR="00B0231D" w:rsidRPr="00B0231D" w:rsidRDefault="00B0231D" w:rsidP="00DB1DD2">
      <w:pPr>
        <w:spacing w:after="0" w:line="240" w:lineRule="auto"/>
        <w:rPr>
          <w:b/>
        </w:rPr>
      </w:pPr>
      <w:r w:rsidRPr="00B0231D">
        <w:rPr>
          <w:b/>
        </w:rPr>
        <w:t xml:space="preserve">The Register of Support </w:t>
      </w:r>
      <w:r>
        <w:rPr>
          <w:b/>
        </w:rPr>
        <w:t>P</w:t>
      </w:r>
      <w:r w:rsidRPr="00B0231D">
        <w:rPr>
          <w:b/>
        </w:rPr>
        <w:t>roviders at Queen’s University</w:t>
      </w:r>
    </w:p>
    <w:p w:rsidR="00B0231D" w:rsidRDefault="00B0231D" w:rsidP="00DB1DD2">
      <w:pPr>
        <w:spacing w:after="0" w:line="240" w:lineRule="auto"/>
      </w:pPr>
    </w:p>
    <w:p w:rsidR="00DB1DD2" w:rsidRDefault="00DB1DD2" w:rsidP="00DB1DD2">
      <w:pPr>
        <w:spacing w:after="0" w:line="240" w:lineRule="auto"/>
      </w:pPr>
      <w:r>
        <w:t xml:space="preserve">Students in receipt of DSA </w:t>
      </w:r>
      <w:r w:rsidR="000473B0">
        <w:t xml:space="preserve">(Disabled Student Allowance) </w:t>
      </w:r>
      <w:r>
        <w:t xml:space="preserve">for one-to-one support will normally use </w:t>
      </w:r>
      <w:r w:rsidR="000473B0">
        <w:t>individual</w:t>
      </w:r>
      <w:r w:rsidR="00B0231D">
        <w:t>s sourced from t</w:t>
      </w:r>
      <w:r>
        <w:t xml:space="preserve">heir educational institution’s </w:t>
      </w:r>
      <w:r w:rsidR="000473B0">
        <w:t>r</w:t>
      </w:r>
      <w:r>
        <w:t>egister</w:t>
      </w:r>
      <w:r w:rsidR="000473B0">
        <w:t xml:space="preserve"> of freelance support workers</w:t>
      </w:r>
      <w:r w:rsidR="00B0231D">
        <w:t xml:space="preserve"> </w:t>
      </w:r>
      <w:proofErr w:type="spellStart"/>
      <w:r w:rsidR="00B0231D">
        <w:t>ie</w:t>
      </w:r>
      <w:proofErr w:type="spellEnd"/>
      <w:r w:rsidR="00B0231D">
        <w:t xml:space="preserve"> the Register of Support Providers at Queen’s University.</w:t>
      </w:r>
    </w:p>
    <w:p w:rsidR="00B0231D" w:rsidRDefault="00B0231D" w:rsidP="00DB1DD2">
      <w:pPr>
        <w:spacing w:after="0" w:line="240" w:lineRule="auto"/>
      </w:pPr>
    </w:p>
    <w:p w:rsidR="00DB1DD2" w:rsidRDefault="00B0231D" w:rsidP="00DB1DD2">
      <w:pPr>
        <w:spacing w:after="0" w:line="240" w:lineRule="auto"/>
      </w:pPr>
      <w:r>
        <w:t>This is because t</w:t>
      </w:r>
      <w:r w:rsidR="000473B0">
        <w:t>he Department for the Economy (</w:t>
      </w:r>
      <w:proofErr w:type="spellStart"/>
      <w:r w:rsidR="000473B0">
        <w:t>DfE</w:t>
      </w:r>
      <w:proofErr w:type="spellEnd"/>
      <w:r w:rsidR="000473B0">
        <w:t>) has st</w:t>
      </w:r>
      <w:r w:rsidR="003853FB">
        <w:t>ipulat</w:t>
      </w:r>
      <w:r w:rsidR="000473B0">
        <w:t>ed that the Education Authority (EA), the body that manages the students’ DSA awards, cannot pay timesheet invoices submitted for one-to-one support unless they are administered via a Register.  For students at Queen’s, this means that their support workers must be registered with</w:t>
      </w:r>
      <w:r w:rsidR="00280180">
        <w:t xml:space="preserve"> and matched through</w:t>
      </w:r>
      <w:r w:rsidR="000473B0">
        <w:t xml:space="preserve"> the Register of Support Providers at Queen’s.</w:t>
      </w:r>
    </w:p>
    <w:p w:rsidR="00B0231D" w:rsidRDefault="00B0231D" w:rsidP="00B0231D">
      <w:pPr>
        <w:spacing w:after="0" w:line="240" w:lineRule="auto"/>
      </w:pPr>
    </w:p>
    <w:p w:rsidR="00B0231D" w:rsidRDefault="00B0231D" w:rsidP="00DB1DD2">
      <w:pPr>
        <w:spacing w:after="0" w:line="240" w:lineRule="auto"/>
      </w:pPr>
    </w:p>
    <w:p w:rsidR="003853FB" w:rsidRPr="003853FB" w:rsidRDefault="003853FB" w:rsidP="00DB1DD2">
      <w:pPr>
        <w:spacing w:after="0" w:line="240" w:lineRule="auto"/>
        <w:rPr>
          <w:b/>
        </w:rPr>
      </w:pPr>
      <w:r w:rsidRPr="003853FB">
        <w:rPr>
          <w:b/>
        </w:rPr>
        <w:t>Working with Friends &amp; Relatives</w:t>
      </w:r>
    </w:p>
    <w:p w:rsidR="003853FB" w:rsidRDefault="003853FB" w:rsidP="00DB1DD2">
      <w:pPr>
        <w:spacing w:after="0" w:line="240" w:lineRule="auto"/>
      </w:pPr>
    </w:p>
    <w:p w:rsidR="00280180" w:rsidRDefault="00280180" w:rsidP="00280180">
      <w:pPr>
        <w:spacing w:after="0" w:line="240" w:lineRule="auto"/>
      </w:pPr>
      <w:r>
        <w:t xml:space="preserve">The </w:t>
      </w:r>
      <w:proofErr w:type="spellStart"/>
      <w:r>
        <w:t>DfE</w:t>
      </w:r>
      <w:proofErr w:type="spellEnd"/>
      <w:r>
        <w:t xml:space="preserve"> has also st</w:t>
      </w:r>
      <w:r w:rsidR="003853FB">
        <w:t>at</w:t>
      </w:r>
      <w:r>
        <w:t xml:space="preserve">ed that DSA funding for one-to-one support by friends or family members will not </w:t>
      </w:r>
      <w:r w:rsidR="00A92FBD">
        <w:t xml:space="preserve">normally </w:t>
      </w:r>
      <w:r>
        <w:t xml:space="preserve">be made available.  As such, the Register of Support Providers at Queen’s will not </w:t>
      </w:r>
      <w:r w:rsidR="00A92FBD">
        <w:t>usu</w:t>
      </w:r>
      <w:r>
        <w:t>ally match students with relatives.</w:t>
      </w:r>
      <w:r w:rsidR="003853FB">
        <w:t xml:space="preserve">  </w:t>
      </w:r>
    </w:p>
    <w:p w:rsidR="00280180" w:rsidRDefault="00280180" w:rsidP="00DB1DD2">
      <w:pPr>
        <w:spacing w:after="0" w:line="240" w:lineRule="auto"/>
      </w:pPr>
    </w:p>
    <w:p w:rsidR="00B0231D" w:rsidRDefault="00B0231D" w:rsidP="00B0231D">
      <w:pPr>
        <w:spacing w:after="0" w:line="240" w:lineRule="auto"/>
      </w:pPr>
    </w:p>
    <w:p w:rsidR="00B0231D" w:rsidRPr="00B0231D" w:rsidRDefault="00B0231D" w:rsidP="00B0231D">
      <w:pPr>
        <w:spacing w:after="0" w:line="240" w:lineRule="auto"/>
        <w:rPr>
          <w:b/>
        </w:rPr>
      </w:pPr>
      <w:r w:rsidRPr="00B0231D">
        <w:rPr>
          <w:b/>
        </w:rPr>
        <w:t>Contractual Arrangements with Third Parties</w:t>
      </w:r>
    </w:p>
    <w:p w:rsidR="00B0231D" w:rsidRDefault="00B0231D" w:rsidP="00B0231D">
      <w:pPr>
        <w:spacing w:after="0" w:line="240" w:lineRule="auto"/>
      </w:pPr>
    </w:p>
    <w:p w:rsidR="00B0231D" w:rsidRPr="000458CA" w:rsidRDefault="00B0231D" w:rsidP="00B0231D">
      <w:pPr>
        <w:spacing w:after="0" w:line="240" w:lineRule="auto"/>
      </w:pPr>
      <w:r>
        <w:t xml:space="preserve">In instances where the Register is unable to provide the support required by a student, the Register will sub-contract that support to another supplier.  </w:t>
      </w:r>
      <w:r>
        <w:rPr>
          <w:rFonts w:ascii="Calibri" w:hAnsi="Calibri"/>
          <w:color w:val="000000"/>
        </w:rPr>
        <w:t>As such, it is the responsibility of the student to r</w:t>
      </w:r>
      <w:r w:rsidRPr="00B0231D">
        <w:rPr>
          <w:rFonts w:ascii="Calibri" w:hAnsi="Calibri"/>
          <w:color w:val="000000"/>
        </w:rPr>
        <w:t xml:space="preserve">eport to the Register any concerns about the quality of </w:t>
      </w:r>
      <w:r>
        <w:rPr>
          <w:rFonts w:ascii="Calibri" w:hAnsi="Calibri"/>
          <w:color w:val="000000"/>
        </w:rPr>
        <w:t>the</w:t>
      </w:r>
      <w:r w:rsidRPr="00B0231D">
        <w:rPr>
          <w:rFonts w:ascii="Calibri" w:hAnsi="Calibri"/>
          <w:color w:val="000000"/>
        </w:rPr>
        <w:t xml:space="preserve"> support </w:t>
      </w:r>
      <w:r>
        <w:rPr>
          <w:rFonts w:ascii="Calibri" w:hAnsi="Calibri"/>
          <w:color w:val="000000"/>
        </w:rPr>
        <w:t xml:space="preserve">they are receiving </w:t>
      </w:r>
      <w:r w:rsidRPr="00B0231D">
        <w:rPr>
          <w:rFonts w:ascii="Calibri" w:hAnsi="Calibri"/>
          <w:color w:val="000000"/>
        </w:rPr>
        <w:t>so that issues may be monitored and reviewed with the third party contracted to provide the support to ensure that it remains fit for purpose.</w:t>
      </w:r>
    </w:p>
    <w:p w:rsidR="00B0231D" w:rsidRDefault="00B0231D" w:rsidP="00DB1DD2">
      <w:pPr>
        <w:spacing w:after="0" w:line="240" w:lineRule="auto"/>
      </w:pPr>
    </w:p>
    <w:p w:rsidR="003853FB" w:rsidRDefault="003853FB" w:rsidP="00DB1DD2">
      <w:pPr>
        <w:spacing w:after="0" w:line="240" w:lineRule="auto"/>
      </w:pPr>
    </w:p>
    <w:p w:rsidR="003853FB" w:rsidRDefault="00A92FBD" w:rsidP="003853FB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Academic &amp; Personal</w:t>
      </w:r>
      <w:r w:rsidR="003853FB" w:rsidRPr="00D50D1A">
        <w:rPr>
          <w:b/>
          <w:lang w:val="en-US"/>
        </w:rPr>
        <w:t xml:space="preserve"> Support</w:t>
      </w:r>
    </w:p>
    <w:p w:rsidR="003853FB" w:rsidRPr="00D50D1A" w:rsidRDefault="003853FB" w:rsidP="003853FB">
      <w:pPr>
        <w:spacing w:after="0" w:line="240" w:lineRule="auto"/>
        <w:rPr>
          <w:b/>
          <w:lang w:val="en-US"/>
        </w:rPr>
      </w:pPr>
    </w:p>
    <w:p w:rsidR="0010504F" w:rsidRDefault="003853FB" w:rsidP="003853FB">
      <w:pPr>
        <w:spacing w:after="0" w:line="240" w:lineRule="auto"/>
        <w:rPr>
          <w:lang w:val="en-US"/>
        </w:rPr>
      </w:pPr>
      <w:r>
        <w:rPr>
          <w:lang w:val="en-US"/>
        </w:rPr>
        <w:t xml:space="preserve">To ensure the health and safety of </w:t>
      </w:r>
      <w:r w:rsidR="00A92FBD">
        <w:rPr>
          <w:lang w:val="en-US"/>
        </w:rPr>
        <w:t xml:space="preserve">its </w:t>
      </w:r>
      <w:r>
        <w:rPr>
          <w:lang w:val="en-US"/>
        </w:rPr>
        <w:t xml:space="preserve">students and Support Providers, the Register does not </w:t>
      </w:r>
      <w:r w:rsidR="00A92FBD">
        <w:rPr>
          <w:lang w:val="en-US"/>
        </w:rPr>
        <w:t>provide academic support in instances where a student requires both academic and personal support concurrently</w:t>
      </w:r>
      <w:r>
        <w:rPr>
          <w:lang w:val="en-US"/>
        </w:rPr>
        <w:t xml:space="preserve">.  </w:t>
      </w:r>
    </w:p>
    <w:p w:rsidR="0010504F" w:rsidRDefault="0010504F" w:rsidP="003853FB">
      <w:pPr>
        <w:spacing w:after="0" w:line="240" w:lineRule="auto"/>
        <w:rPr>
          <w:lang w:val="en-US"/>
        </w:rPr>
      </w:pPr>
    </w:p>
    <w:p w:rsidR="003853FB" w:rsidRDefault="003853FB" w:rsidP="003853FB">
      <w:pPr>
        <w:spacing w:after="0" w:line="240" w:lineRule="auto"/>
        <w:rPr>
          <w:lang w:val="en-US"/>
        </w:rPr>
      </w:pPr>
      <w:r>
        <w:rPr>
          <w:lang w:val="en-US"/>
        </w:rPr>
        <w:t xml:space="preserve">Where a student </w:t>
      </w:r>
      <w:r w:rsidR="00A92FBD">
        <w:rPr>
          <w:lang w:val="en-US"/>
        </w:rPr>
        <w:t>requires</w:t>
      </w:r>
      <w:r>
        <w:rPr>
          <w:lang w:val="en-US"/>
        </w:rPr>
        <w:t xml:space="preserve"> support</w:t>
      </w:r>
      <w:r w:rsidR="00A92FBD">
        <w:rPr>
          <w:lang w:val="en-US"/>
        </w:rPr>
        <w:t xml:space="preserve"> both academic and personal support</w:t>
      </w:r>
      <w:r>
        <w:rPr>
          <w:lang w:val="en-US"/>
        </w:rPr>
        <w:t xml:space="preserve">, they will be directed towards </w:t>
      </w:r>
      <w:r w:rsidR="0010504F">
        <w:rPr>
          <w:lang w:val="en-US"/>
        </w:rPr>
        <w:t>service</w:t>
      </w:r>
      <w:r>
        <w:rPr>
          <w:lang w:val="en-US"/>
        </w:rPr>
        <w:t>s able to arrange support of th</w:t>
      </w:r>
      <w:r w:rsidR="0010504F">
        <w:rPr>
          <w:lang w:val="en-US"/>
        </w:rPr>
        <w:t>is</w:t>
      </w:r>
      <w:r>
        <w:rPr>
          <w:lang w:val="en-US"/>
        </w:rPr>
        <w:t xml:space="preserve"> nature. </w:t>
      </w:r>
    </w:p>
    <w:p w:rsidR="003853FB" w:rsidRDefault="003853FB" w:rsidP="00DB1DD2">
      <w:pPr>
        <w:spacing w:after="0" w:line="240" w:lineRule="auto"/>
      </w:pPr>
    </w:p>
    <w:p w:rsidR="0010504F" w:rsidRDefault="0010504F" w:rsidP="00DB1DD2">
      <w:pPr>
        <w:spacing w:after="0" w:line="240" w:lineRule="auto"/>
      </w:pPr>
    </w:p>
    <w:p w:rsidR="003853FB" w:rsidRDefault="003853FB" w:rsidP="003853FB">
      <w:pPr>
        <w:spacing w:after="0" w:line="240" w:lineRule="auto"/>
        <w:rPr>
          <w:b/>
        </w:rPr>
      </w:pPr>
      <w:r>
        <w:rPr>
          <w:b/>
        </w:rPr>
        <w:t>Queries</w:t>
      </w:r>
    </w:p>
    <w:p w:rsidR="003853FB" w:rsidRDefault="003853FB" w:rsidP="003853FB">
      <w:pPr>
        <w:spacing w:after="0" w:line="240" w:lineRule="auto"/>
        <w:rPr>
          <w:b/>
        </w:rPr>
      </w:pPr>
    </w:p>
    <w:p w:rsidR="003853FB" w:rsidRDefault="003853FB" w:rsidP="003853FB">
      <w:pPr>
        <w:spacing w:after="0" w:line="240" w:lineRule="auto"/>
      </w:pPr>
      <w:r>
        <w:t>If you have any queries about the above, please contact:</w:t>
      </w:r>
    </w:p>
    <w:p w:rsidR="003853FB" w:rsidRDefault="003853FB" w:rsidP="003853FB">
      <w:pPr>
        <w:spacing w:after="0" w:line="240" w:lineRule="auto"/>
      </w:pPr>
    </w:p>
    <w:p w:rsidR="003853FB" w:rsidRDefault="003853FB" w:rsidP="0010504F">
      <w:pPr>
        <w:spacing w:after="0" w:line="240" w:lineRule="auto"/>
        <w:rPr>
          <w:lang w:val="en-US"/>
        </w:rPr>
      </w:pPr>
      <w:r>
        <w:t>T</w:t>
      </w:r>
      <w:r w:rsidRPr="00CB0C77">
        <w:t>he Register of Support Providers at Queen’s University</w:t>
      </w:r>
      <w:r w:rsidRPr="00CB0C77">
        <w:rPr>
          <w:lang w:val="en-US"/>
        </w:rPr>
        <w:t xml:space="preserve"> </w:t>
      </w:r>
    </w:p>
    <w:p w:rsidR="0010504F" w:rsidRDefault="0010504F" w:rsidP="0010504F">
      <w:pPr>
        <w:spacing w:after="0" w:line="240" w:lineRule="auto"/>
        <w:rPr>
          <w:rFonts w:eastAsiaTheme="minorEastAsia" w:cs="Arial"/>
          <w:noProof/>
          <w:lang w:eastAsia="en-GB"/>
        </w:rPr>
      </w:pPr>
      <w:r>
        <w:rPr>
          <w:rFonts w:eastAsiaTheme="minorEastAsia" w:cs="Arial"/>
          <w:noProof/>
          <w:lang w:eastAsia="en-GB"/>
        </w:rPr>
        <w:t>Disability Services, Student Guidance Centre</w:t>
      </w:r>
    </w:p>
    <w:p w:rsidR="0010504F" w:rsidRDefault="0010504F" w:rsidP="0010504F">
      <w:pPr>
        <w:spacing w:after="0" w:line="240" w:lineRule="auto"/>
        <w:rPr>
          <w:rFonts w:eastAsiaTheme="minorEastAsia" w:cs="Arial"/>
          <w:noProof/>
          <w:lang w:eastAsia="en-GB"/>
        </w:rPr>
      </w:pPr>
      <w:r>
        <w:rPr>
          <w:rFonts w:eastAsiaTheme="minorEastAsia" w:cs="Arial"/>
          <w:noProof/>
          <w:lang w:eastAsia="en-GB"/>
        </w:rPr>
        <w:t xml:space="preserve">Queen’s University, 91a University Road </w:t>
      </w:r>
    </w:p>
    <w:p w:rsidR="0010504F" w:rsidRDefault="0010504F" w:rsidP="0010504F">
      <w:pPr>
        <w:spacing w:after="0" w:line="240" w:lineRule="auto"/>
        <w:rPr>
          <w:rFonts w:eastAsiaTheme="minorEastAsia" w:cs="Arial"/>
          <w:noProof/>
          <w:lang w:eastAsia="en-GB"/>
        </w:rPr>
      </w:pPr>
      <w:r>
        <w:rPr>
          <w:rFonts w:eastAsiaTheme="minorEastAsia" w:cs="Arial"/>
          <w:noProof/>
          <w:lang w:eastAsia="en-GB"/>
        </w:rPr>
        <w:t>Belfast, BT7 1NF</w:t>
      </w:r>
    </w:p>
    <w:p w:rsidR="007E7868" w:rsidRDefault="003853FB" w:rsidP="003853FB">
      <w:pPr>
        <w:spacing w:after="0" w:line="240" w:lineRule="auto"/>
        <w:rPr>
          <w:lang w:val="en-US"/>
        </w:rPr>
      </w:pPr>
      <w:r>
        <w:rPr>
          <w:lang w:val="en-US"/>
        </w:rPr>
        <w:t xml:space="preserve">Tel: </w:t>
      </w:r>
      <w:r>
        <w:t>90 973610</w:t>
      </w:r>
      <w:r w:rsidR="0010504F">
        <w:rPr>
          <w:lang w:val="en-US"/>
        </w:rPr>
        <w:tab/>
      </w:r>
      <w:r w:rsidR="0010504F">
        <w:rPr>
          <w:lang w:val="en-US"/>
        </w:rPr>
        <w:tab/>
      </w:r>
    </w:p>
    <w:p w:rsidR="003853FB" w:rsidRPr="0010504F" w:rsidRDefault="003853FB" w:rsidP="003853FB">
      <w:pPr>
        <w:spacing w:after="0" w:line="240" w:lineRule="auto"/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>
          <w:rPr>
            <w:rStyle w:val="Hyperlink"/>
          </w:rPr>
          <w:t>nmhregister@qub.ac.uk</w:t>
        </w:r>
      </w:hyperlink>
      <w:r>
        <w:t xml:space="preserve"> </w:t>
      </w:r>
    </w:p>
    <w:p w:rsidR="000473B0" w:rsidRDefault="000473B0" w:rsidP="00DB1DD2">
      <w:pPr>
        <w:spacing w:after="0" w:line="240" w:lineRule="auto"/>
      </w:pPr>
    </w:p>
    <w:p w:rsidR="00DB1DD2" w:rsidRDefault="00DB1DD2" w:rsidP="00DB1DD2">
      <w:pPr>
        <w:spacing w:after="0" w:line="240" w:lineRule="auto"/>
      </w:pPr>
    </w:p>
    <w:sectPr w:rsidR="00DB1DD2" w:rsidSect="001050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A64"/>
    <w:multiLevelType w:val="hybridMultilevel"/>
    <w:tmpl w:val="AE46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66B9"/>
    <w:multiLevelType w:val="hybridMultilevel"/>
    <w:tmpl w:val="1EA2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6F62"/>
    <w:multiLevelType w:val="hybridMultilevel"/>
    <w:tmpl w:val="C6AC5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F6"/>
    <w:rsid w:val="000473B0"/>
    <w:rsid w:val="0010504F"/>
    <w:rsid w:val="00280180"/>
    <w:rsid w:val="002852CE"/>
    <w:rsid w:val="003853FB"/>
    <w:rsid w:val="003B6C32"/>
    <w:rsid w:val="003F6B00"/>
    <w:rsid w:val="004316F6"/>
    <w:rsid w:val="007313CD"/>
    <w:rsid w:val="007B47B7"/>
    <w:rsid w:val="007E7868"/>
    <w:rsid w:val="008210E4"/>
    <w:rsid w:val="00910CBB"/>
    <w:rsid w:val="00A92FBD"/>
    <w:rsid w:val="00B0231D"/>
    <w:rsid w:val="00B76AC4"/>
    <w:rsid w:val="00D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0CBB4-8913-4B4E-AC20-F6CD8FB2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3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hregister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Alexander</dc:creator>
  <cp:keywords/>
  <dc:description/>
  <cp:lastModifiedBy>Kirsti Alexander</cp:lastModifiedBy>
  <cp:revision>2</cp:revision>
  <cp:lastPrinted>2018-05-15T14:08:00Z</cp:lastPrinted>
  <dcterms:created xsi:type="dcterms:W3CDTF">2019-01-18T11:34:00Z</dcterms:created>
  <dcterms:modified xsi:type="dcterms:W3CDTF">2019-01-18T11:34:00Z</dcterms:modified>
</cp:coreProperties>
</file>