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CBC8F" w14:textId="31FACC42" w:rsidR="00AC20C5" w:rsidRDefault="00AC20C5" w:rsidP="00AC20C5">
      <w:pPr>
        <w:spacing w:after="0" w:line="240" w:lineRule="auto"/>
        <w:rPr>
          <w:b/>
          <w:bCs/>
        </w:rPr>
      </w:pPr>
      <w:r>
        <w:rPr>
          <w:b/>
          <w:bCs/>
        </w:rPr>
        <w:t>Sample English seminar. AEL Showcase. 12 March 2021.</w:t>
      </w:r>
    </w:p>
    <w:p w14:paraId="7D7AD5FE" w14:textId="042C57B6" w:rsidR="00AC20C5" w:rsidRDefault="00AC20C5" w:rsidP="00AC20C5">
      <w:pPr>
        <w:spacing w:after="0" w:line="240" w:lineRule="auto"/>
        <w:rPr>
          <w:b/>
          <w:bCs/>
        </w:rPr>
      </w:pPr>
      <w:r>
        <w:rPr>
          <w:b/>
          <w:bCs/>
        </w:rPr>
        <w:t>Prof Moyra Haslett with Ankur, Charlotte &amp; Grainne</w:t>
      </w:r>
    </w:p>
    <w:p w14:paraId="342D9186" w14:textId="77777777" w:rsidR="00AC20C5" w:rsidRDefault="00AC20C5" w:rsidP="00AC20C5">
      <w:pPr>
        <w:spacing w:after="0" w:line="240" w:lineRule="auto"/>
        <w:rPr>
          <w:b/>
          <w:bCs/>
        </w:rPr>
      </w:pPr>
    </w:p>
    <w:p w14:paraId="4EA9341C" w14:textId="0242755A" w:rsidR="00B601AC" w:rsidRPr="009E757F" w:rsidRDefault="003668F5" w:rsidP="00AC20C5">
      <w:pPr>
        <w:spacing w:after="0" w:line="240" w:lineRule="auto"/>
        <w:rPr>
          <w:b/>
          <w:bCs/>
        </w:rPr>
      </w:pPr>
      <w:r w:rsidRPr="009E757F">
        <w:rPr>
          <w:b/>
          <w:bCs/>
        </w:rPr>
        <w:t>Sample critical readings of Keats, ‘To Autumn’</w:t>
      </w:r>
    </w:p>
    <w:p w14:paraId="6A8F6746" w14:textId="77777777" w:rsidR="00AC20C5" w:rsidRDefault="00AC20C5" w:rsidP="00AC20C5">
      <w:pPr>
        <w:spacing w:after="0" w:line="240" w:lineRule="auto"/>
        <w:rPr>
          <w:b/>
          <w:bCs/>
        </w:rPr>
      </w:pPr>
    </w:p>
    <w:p w14:paraId="07BF6532" w14:textId="03B5A534" w:rsidR="003668F5" w:rsidRDefault="0065222C" w:rsidP="00AC20C5">
      <w:pPr>
        <w:spacing w:after="0" w:line="240" w:lineRule="auto"/>
      </w:pPr>
      <w:r w:rsidRPr="0065222C">
        <w:rPr>
          <w:b/>
          <w:bCs/>
        </w:rPr>
        <w:t>‘Formalist’ readings</w:t>
      </w:r>
      <w:r>
        <w:t>:</w:t>
      </w:r>
    </w:p>
    <w:p w14:paraId="0064EA93" w14:textId="3AF88922" w:rsidR="0065222C" w:rsidRDefault="0065222C" w:rsidP="00AC20C5">
      <w:pPr>
        <w:spacing w:after="0" w:line="240" w:lineRule="auto"/>
      </w:pPr>
      <w:r>
        <w:rPr>
          <w:rFonts w:ascii="Calibri" w:eastAsia="Times New Roman" w:hAnsi="Calibri" w:cs="Calibri"/>
          <w:color w:val="000000"/>
          <w:lang w:val="en-US" w:eastAsia="en-GB"/>
        </w:rPr>
        <w:t xml:space="preserve">• </w:t>
      </w:r>
      <w:r w:rsidRPr="00825344">
        <w:rPr>
          <w:u w:val="single"/>
        </w:rPr>
        <w:t>Helen Vendler (1983</w:t>
      </w:r>
      <w:r>
        <w:t>): an attempt at reparation for loss, for the inevitable and necessary depletion of harvest, in offering plenitude.</w:t>
      </w:r>
    </w:p>
    <w:p w14:paraId="4D18B77D" w14:textId="77777777" w:rsidR="00AC20C5" w:rsidRDefault="00AC20C5" w:rsidP="00AC20C5">
      <w:pPr>
        <w:spacing w:after="0" w:line="240" w:lineRule="auto"/>
        <w:rPr>
          <w:rFonts w:ascii="Calibri" w:eastAsia="Times New Roman" w:hAnsi="Calibri" w:cs="Calibri"/>
          <w:color w:val="000000"/>
          <w:lang w:val="en-US" w:eastAsia="en-GB"/>
        </w:rPr>
      </w:pPr>
    </w:p>
    <w:p w14:paraId="18190F27" w14:textId="1A79C8CA" w:rsidR="00825344" w:rsidRDefault="00825344" w:rsidP="00AC20C5">
      <w:pPr>
        <w:spacing w:after="0" w:line="240" w:lineRule="auto"/>
        <w:rPr>
          <w:lang w:val="en-US"/>
        </w:rPr>
      </w:pPr>
      <w:r>
        <w:rPr>
          <w:rFonts w:ascii="Calibri" w:eastAsia="Times New Roman" w:hAnsi="Calibri" w:cs="Calibri"/>
          <w:color w:val="000000"/>
          <w:lang w:val="en-US" w:eastAsia="en-GB"/>
        </w:rPr>
        <w:t xml:space="preserve">• </w:t>
      </w:r>
      <w:r w:rsidRPr="0041198A">
        <w:rPr>
          <w:u w:val="single"/>
          <w:lang w:val="en-US"/>
        </w:rPr>
        <w:t>Fry (1986)</w:t>
      </w:r>
      <w:r>
        <w:rPr>
          <w:lang w:val="en-US"/>
        </w:rPr>
        <w:t>: Fry’s argument is that the poem is ‘a-historical’ but in a completely different manner from that argued by McGann</w:t>
      </w:r>
      <w:r>
        <w:rPr>
          <w:lang w:val="en-US"/>
        </w:rPr>
        <w:t xml:space="preserve"> (see below)</w:t>
      </w:r>
      <w:r>
        <w:rPr>
          <w:lang w:val="en-US"/>
        </w:rPr>
        <w:t>: ‘it scarcely seems pertinent to say that “To Autumn” is an evasion of social violence when it is so clearly an encounter with death itself’ (216); even if the poem ‘were about the harvest, it could scarcely be a celebration of plenty. Amid stubble-fields, dried-up cottage gardens, and sounds that are humanly intelligible only insofar as they seem mournful, a requiem for plenitude, the sense complete the eclipse of the season by turning to the high frequencies of an empty sky’ (217).</w:t>
      </w:r>
      <w:r>
        <w:rPr>
          <w:lang w:val="en-US"/>
        </w:rPr>
        <w:t xml:space="preserve"> [Note: Fry v Vendler: Fry sees death and depletion; Vendler sees acceptance and plenitude.]</w:t>
      </w:r>
    </w:p>
    <w:p w14:paraId="6BB19E76" w14:textId="77777777" w:rsidR="00825344" w:rsidRDefault="00825344" w:rsidP="00AC20C5">
      <w:pPr>
        <w:spacing w:after="0" w:line="240" w:lineRule="auto"/>
      </w:pPr>
    </w:p>
    <w:p w14:paraId="278F5424" w14:textId="7701B7F3" w:rsidR="0065222C" w:rsidRPr="00825344" w:rsidRDefault="0065222C" w:rsidP="00AC20C5">
      <w:pPr>
        <w:spacing w:after="0" w:line="240" w:lineRule="auto"/>
        <w:rPr>
          <w:b/>
          <w:bCs/>
          <w:lang w:val="en-US"/>
        </w:rPr>
      </w:pPr>
      <w:r w:rsidRPr="00825344">
        <w:rPr>
          <w:b/>
          <w:bCs/>
          <w:lang w:val="en-US"/>
        </w:rPr>
        <w:t>S</w:t>
      </w:r>
      <w:r w:rsidRPr="00825344">
        <w:rPr>
          <w:b/>
          <w:bCs/>
          <w:lang w:val="en-US"/>
        </w:rPr>
        <w:t>ome examples of ‘close’/ formal readings:</w:t>
      </w:r>
    </w:p>
    <w:p w14:paraId="74223096" w14:textId="77777777" w:rsidR="00AC20C5" w:rsidRDefault="00AC20C5" w:rsidP="00AC20C5">
      <w:pPr>
        <w:spacing w:after="0" w:line="240" w:lineRule="auto"/>
      </w:pPr>
    </w:p>
    <w:p w14:paraId="409BB07C" w14:textId="4844028A" w:rsidR="0065222C" w:rsidRPr="003668F5" w:rsidRDefault="0065222C" w:rsidP="00AC20C5">
      <w:pPr>
        <w:spacing w:after="0" w:line="240" w:lineRule="auto"/>
      </w:pPr>
      <w:r w:rsidRPr="003668F5">
        <w:t xml:space="preserve">Throughout: ‘The sounds and consequent tone of the poem, both the long vowels and the alliterative reliance on the double-’l’ … together create the ‘fruitfulness’ of the poem: ‘fill’, swell’, ‘o’er-brimmed’, ‘furrow’, ‘winnow’, ‘swallows’ – to name but a few …. the language of fulness” (Mahoney 456). </w:t>
      </w:r>
    </w:p>
    <w:p w14:paraId="756637E4" w14:textId="77777777" w:rsidR="00AC20C5" w:rsidRDefault="00AC20C5" w:rsidP="00AC20C5">
      <w:pPr>
        <w:spacing w:after="0" w:line="240" w:lineRule="auto"/>
        <w:rPr>
          <w:lang w:val="en-US"/>
        </w:rPr>
      </w:pPr>
    </w:p>
    <w:p w14:paraId="2FCE62DC" w14:textId="5EAEDD22" w:rsidR="0065222C" w:rsidRPr="003668F5" w:rsidRDefault="0065222C" w:rsidP="00AC20C5">
      <w:pPr>
        <w:spacing w:after="0" w:line="240" w:lineRule="auto"/>
      </w:pPr>
      <w:r w:rsidRPr="003668F5">
        <w:rPr>
          <w:lang w:val="en-US"/>
        </w:rPr>
        <w:t>Stanza 1:</w:t>
      </w:r>
      <w:r>
        <w:rPr>
          <w:lang w:val="en-US"/>
        </w:rPr>
        <w:t xml:space="preserve"> </w:t>
      </w:r>
      <w:r w:rsidRPr="003668F5">
        <w:rPr>
          <w:lang w:val="en-US"/>
        </w:rPr>
        <w:t xml:space="preserve">‘Though the form may be that of surmise, the impression is one of steady action.’ (Vendler 250) </w:t>
      </w:r>
    </w:p>
    <w:p w14:paraId="2741004F" w14:textId="77777777" w:rsidR="00AC20C5" w:rsidRDefault="00AC20C5" w:rsidP="00AC20C5">
      <w:pPr>
        <w:spacing w:after="0" w:line="240" w:lineRule="auto"/>
        <w:rPr>
          <w:lang w:val="en-US"/>
        </w:rPr>
      </w:pPr>
    </w:p>
    <w:p w14:paraId="1BB35549" w14:textId="40AB4EC2" w:rsidR="0065222C" w:rsidRDefault="0065222C" w:rsidP="00AC20C5">
      <w:pPr>
        <w:spacing w:after="0" w:line="240" w:lineRule="auto"/>
        <w:rPr>
          <w:lang w:val="en-US"/>
        </w:rPr>
      </w:pPr>
      <w:r>
        <w:rPr>
          <w:lang w:val="en-US"/>
        </w:rPr>
        <w:t xml:space="preserve">Philosophical acceptance of process? But …. </w:t>
      </w:r>
      <w:r w:rsidR="00AC20C5">
        <w:rPr>
          <w:lang w:val="en-US"/>
        </w:rPr>
        <w:t>‘m</w:t>
      </w:r>
      <w:r>
        <w:rPr>
          <w:lang w:val="en-US"/>
        </w:rPr>
        <w:t xml:space="preserve">any poetic and linguistic devices that complicate assent to process, inviting but refusing it, as if to deny or mitigate its painful effects.  St 1 infinitives – never find completion in a finite verb.  The final image of </w:t>
      </w:r>
      <w:proofErr w:type="spellStart"/>
      <w:r>
        <w:rPr>
          <w:lang w:val="en-US"/>
        </w:rPr>
        <w:t>st</w:t>
      </w:r>
      <w:proofErr w:type="spellEnd"/>
      <w:r>
        <w:rPr>
          <w:lang w:val="en-US"/>
        </w:rPr>
        <w:t xml:space="preserve"> 1 implies but also seems to postpone the coming of winter …</w:t>
      </w:r>
      <w:r w:rsidR="00AC20C5">
        <w:rPr>
          <w:lang w:val="en-US"/>
        </w:rPr>
        <w:t>’</w:t>
      </w:r>
      <w:r>
        <w:rPr>
          <w:lang w:val="en-US"/>
        </w:rPr>
        <w:t xml:space="preserve"> (Sheats 97) </w:t>
      </w:r>
    </w:p>
    <w:p w14:paraId="6A26081E" w14:textId="77777777" w:rsidR="00AC20C5" w:rsidRDefault="00AC20C5" w:rsidP="00AC20C5">
      <w:pPr>
        <w:spacing w:after="0" w:line="240" w:lineRule="auto"/>
        <w:rPr>
          <w:lang w:val="en-US"/>
        </w:rPr>
      </w:pPr>
    </w:p>
    <w:p w14:paraId="49DB904F" w14:textId="06F93428" w:rsidR="0065222C" w:rsidRDefault="0065222C" w:rsidP="00AC20C5">
      <w:pPr>
        <w:spacing w:after="0" w:line="240" w:lineRule="auto"/>
      </w:pPr>
      <w:r w:rsidRPr="003668F5">
        <w:rPr>
          <w:lang w:val="en-US"/>
        </w:rPr>
        <w:t xml:space="preserve">Stanza 1 line 10: </w:t>
      </w:r>
      <w:r w:rsidRPr="003668F5">
        <w:t xml:space="preserve">‘The line that exposes the ironic effect of summer’s generosity is made to </w:t>
      </w:r>
      <w:proofErr w:type="gramStart"/>
      <w:r w:rsidRPr="003668F5">
        <w:t>conspire  in</w:t>
      </w:r>
      <w:proofErr w:type="gramEnd"/>
      <w:r w:rsidRPr="003668F5">
        <w:t xml:space="preserve"> this generosity, by forming a couplet that prolongs the stanza’s closing cadence (</w:t>
      </w:r>
      <w:proofErr w:type="spellStart"/>
      <w:r w:rsidRPr="003668F5">
        <w:t>cdecDDe</w:t>
      </w:r>
      <w:proofErr w:type="spellEnd"/>
      <w:r w:rsidRPr="003668F5">
        <w:t xml:space="preserve">), Here, in Keats’s one readjustment of the May stanza [the stanza of 10 lines used in the earlier 1819 odes], meter functions as a formal, </w:t>
      </w:r>
      <w:proofErr w:type="spellStart"/>
      <w:r w:rsidRPr="003668F5">
        <w:t>nonsemantic</w:t>
      </w:r>
      <w:proofErr w:type="spellEnd"/>
      <w:r w:rsidRPr="003668F5">
        <w:t xml:space="preserve"> analogue to the passage of time.’ (Sheats 98) </w:t>
      </w:r>
    </w:p>
    <w:p w14:paraId="2152A78B" w14:textId="77777777" w:rsidR="00AC20C5" w:rsidRDefault="00AC20C5" w:rsidP="00AC20C5">
      <w:pPr>
        <w:spacing w:after="0" w:line="240" w:lineRule="auto"/>
      </w:pPr>
    </w:p>
    <w:p w14:paraId="073C08C9" w14:textId="77777777" w:rsidR="0065222C" w:rsidRPr="003668F5" w:rsidRDefault="0065222C" w:rsidP="00AC20C5">
      <w:pPr>
        <w:spacing w:after="0" w:line="240" w:lineRule="auto"/>
      </w:pPr>
      <w:r w:rsidRPr="003668F5">
        <w:rPr>
          <w:lang w:val="en-US"/>
        </w:rPr>
        <w:t>Stanza 2:</w:t>
      </w:r>
      <w:r>
        <w:rPr>
          <w:lang w:val="en-US"/>
        </w:rPr>
        <w:t xml:space="preserve"> </w:t>
      </w:r>
      <w:r w:rsidRPr="003668F5">
        <w:rPr>
          <w:lang w:val="en-US"/>
        </w:rPr>
        <w:t>The agricultural rhythm is of reaping, gleaning, threshing, but here: threshing, reaping, gleaning: ‘a sequence invented, I believe, to show the difficulties of presenting an inactive harvest and one imbued with pathos’. (Vendler, 251)</w:t>
      </w:r>
    </w:p>
    <w:p w14:paraId="3A4698DC" w14:textId="77777777" w:rsidR="00AC20C5" w:rsidRDefault="00AC20C5" w:rsidP="00AC20C5">
      <w:pPr>
        <w:spacing w:after="0" w:line="240" w:lineRule="auto"/>
        <w:rPr>
          <w:lang w:val="en-US"/>
        </w:rPr>
      </w:pPr>
    </w:p>
    <w:p w14:paraId="2529B195" w14:textId="7AF23E22" w:rsidR="0065222C" w:rsidRPr="003668F5" w:rsidRDefault="0065222C" w:rsidP="00AC20C5">
      <w:pPr>
        <w:spacing w:after="0" w:line="240" w:lineRule="auto"/>
      </w:pPr>
      <w:r w:rsidRPr="003668F5">
        <w:rPr>
          <w:lang w:val="en-US"/>
        </w:rPr>
        <w:t xml:space="preserve">Stanza 3: </w:t>
      </w:r>
      <w:r>
        <w:rPr>
          <w:lang w:val="en-US"/>
        </w:rPr>
        <w:t>‘</w:t>
      </w:r>
      <w:r w:rsidRPr="003668F5">
        <w:rPr>
          <w:lang w:val="en-US"/>
        </w:rPr>
        <w:t xml:space="preserve">Sentences shorten, finite verbs multiply. After the magnificent display of stanza two, personification subsides (in </w:t>
      </w:r>
      <w:r w:rsidRPr="003668F5">
        <w:rPr>
          <w:i/>
          <w:iCs/>
          <w:lang w:val="en-US"/>
        </w:rPr>
        <w:t xml:space="preserve">choir </w:t>
      </w:r>
      <w:r w:rsidRPr="003668F5">
        <w:rPr>
          <w:lang w:val="en-US"/>
        </w:rPr>
        <w:t xml:space="preserve">and </w:t>
      </w:r>
      <w:r w:rsidRPr="003668F5">
        <w:rPr>
          <w:i/>
          <w:iCs/>
          <w:lang w:val="en-US"/>
        </w:rPr>
        <w:t>mourn</w:t>
      </w:r>
      <w:r w:rsidRPr="003668F5">
        <w:rPr>
          <w:lang w:val="en-US"/>
        </w:rPr>
        <w:t xml:space="preserve">) and vanishes in the last four lines, where </w:t>
      </w:r>
      <w:proofErr w:type="gramStart"/>
      <w:r w:rsidRPr="003668F5">
        <w:rPr>
          <w:lang w:val="en-US"/>
        </w:rPr>
        <w:t>an absolutely literal</w:t>
      </w:r>
      <w:proofErr w:type="gramEnd"/>
      <w:r w:rsidRPr="003668F5">
        <w:rPr>
          <w:lang w:val="en-US"/>
        </w:rPr>
        <w:t xml:space="preserve"> diction enacts acceptance of what is and will be. Twice displaced from its destined victims, verbal forms of </w:t>
      </w:r>
      <w:r>
        <w:rPr>
          <w:lang w:val="en-US"/>
        </w:rPr>
        <w:t>“</w:t>
      </w:r>
      <w:r w:rsidRPr="003668F5">
        <w:rPr>
          <w:lang w:val="en-US"/>
        </w:rPr>
        <w:t>die</w:t>
      </w:r>
      <w:r>
        <w:rPr>
          <w:lang w:val="en-US"/>
        </w:rPr>
        <w:t>”</w:t>
      </w:r>
      <w:r w:rsidRPr="003668F5">
        <w:rPr>
          <w:lang w:val="en-US"/>
        </w:rPr>
        <w:t xml:space="preserve"> (25, 29) are applied harmlessly to immortal things, the </w:t>
      </w:r>
      <w:proofErr w:type="gramStart"/>
      <w:r w:rsidRPr="003668F5">
        <w:rPr>
          <w:lang w:val="en-US"/>
        </w:rPr>
        <w:t>day</w:t>
      </w:r>
      <w:proofErr w:type="gramEnd"/>
      <w:r w:rsidRPr="003668F5">
        <w:rPr>
          <w:lang w:val="en-US"/>
        </w:rPr>
        <w:t xml:space="preserve"> and the wind, in a delicate euphemism we sense as protective, merciful and unavailin</w:t>
      </w:r>
      <w:r>
        <w:rPr>
          <w:lang w:val="en-US"/>
        </w:rPr>
        <w:t>g’</w:t>
      </w:r>
      <w:r w:rsidRPr="003668F5">
        <w:rPr>
          <w:lang w:val="en-US"/>
        </w:rPr>
        <w:t>. (Sheats 98)</w:t>
      </w:r>
    </w:p>
    <w:p w14:paraId="4634342C" w14:textId="2AB374DC" w:rsidR="0065222C" w:rsidRDefault="0065222C" w:rsidP="00AC20C5">
      <w:pPr>
        <w:spacing w:after="0" w:line="240" w:lineRule="auto"/>
      </w:pPr>
    </w:p>
    <w:p w14:paraId="20737AB4" w14:textId="77777777" w:rsidR="00AC20C5" w:rsidRDefault="00AC20C5" w:rsidP="00AC20C5">
      <w:pPr>
        <w:spacing w:after="0" w:line="240" w:lineRule="auto"/>
        <w:rPr>
          <w:b/>
          <w:bCs/>
        </w:rPr>
      </w:pPr>
    </w:p>
    <w:p w14:paraId="1F9148AA" w14:textId="77777777" w:rsidR="00AC20C5" w:rsidRDefault="00AC20C5" w:rsidP="00AC20C5">
      <w:pPr>
        <w:spacing w:after="0" w:line="240" w:lineRule="auto"/>
        <w:rPr>
          <w:b/>
          <w:bCs/>
        </w:rPr>
      </w:pPr>
    </w:p>
    <w:p w14:paraId="4196DE3C" w14:textId="09370A42" w:rsidR="00825344" w:rsidRPr="00825344" w:rsidRDefault="00825344" w:rsidP="00AC20C5">
      <w:pPr>
        <w:spacing w:after="0" w:line="240" w:lineRule="auto"/>
        <w:rPr>
          <w:b/>
          <w:bCs/>
        </w:rPr>
      </w:pPr>
      <w:r w:rsidRPr="00825344">
        <w:rPr>
          <w:b/>
          <w:bCs/>
        </w:rPr>
        <w:lastRenderedPageBreak/>
        <w:t>A ‘biographical’ reading (of sorts)</w:t>
      </w:r>
    </w:p>
    <w:p w14:paraId="5F8A64A9" w14:textId="3DBEBE49" w:rsidR="00825344" w:rsidRDefault="00825344" w:rsidP="00AC20C5">
      <w:pPr>
        <w:spacing w:after="0" w:line="240" w:lineRule="auto"/>
      </w:pPr>
      <w:r>
        <w:rPr>
          <w:rFonts w:ascii="Calibri" w:eastAsia="Times New Roman" w:hAnsi="Calibri" w:cs="Calibri"/>
          <w:color w:val="000000"/>
          <w:lang w:val="en-US" w:eastAsia="en-GB"/>
        </w:rPr>
        <w:t xml:space="preserve">• </w:t>
      </w:r>
      <w:r w:rsidRPr="00825344">
        <w:rPr>
          <w:u w:val="single"/>
          <w:lang w:val="en-US"/>
        </w:rPr>
        <w:t>Turley (200</w:t>
      </w:r>
      <w:r w:rsidR="00973786">
        <w:rPr>
          <w:u w:val="single"/>
          <w:lang w:val="en-US"/>
        </w:rPr>
        <w:t>3</w:t>
      </w:r>
      <w:r w:rsidRPr="00825344">
        <w:rPr>
          <w:u w:val="single"/>
          <w:lang w:val="en-US"/>
        </w:rPr>
        <w:t>):</w:t>
      </w:r>
      <w:r>
        <w:rPr>
          <w:lang w:val="en-US"/>
        </w:rPr>
        <w:t xml:space="preserve"> that the poem dramatizes ambivalence about maturity (Turley focuses particularly on ‘</w:t>
      </w:r>
      <w:r>
        <w:rPr>
          <w:color w:val="000000"/>
          <w:shd w:val="clear" w:color="auto" w:fill="FFFFFF"/>
        </w:rPr>
        <w:t>odd and difficult-to-reconcile phrases’ such as 'maturing sun', 'close bosom-friend', 'small gnats', and 'full-grown lambs'</w:t>
      </w:r>
      <w:r>
        <w:rPr>
          <w:lang w:val="en-US"/>
        </w:rPr>
        <w:t xml:space="preserve">); that the poem is </w:t>
      </w:r>
      <w:r>
        <w:t xml:space="preserve">an address ‘to’ autumn wishing to defer, rather than a description ‘of’ autumn. </w:t>
      </w:r>
      <w:r>
        <w:rPr>
          <w:lang w:val="en-US"/>
        </w:rPr>
        <w:t>Turley also argues that that ambivalence is intimately bound up with political opposition.</w:t>
      </w:r>
      <w:r w:rsidRPr="00825344">
        <w:t xml:space="preserve"> </w:t>
      </w:r>
    </w:p>
    <w:p w14:paraId="131D2112" w14:textId="77777777" w:rsidR="00825344" w:rsidRDefault="00825344" w:rsidP="00AC20C5">
      <w:pPr>
        <w:spacing w:after="0" w:line="240" w:lineRule="auto"/>
      </w:pPr>
    </w:p>
    <w:p w14:paraId="31EB9850" w14:textId="77777777" w:rsidR="00825344" w:rsidRDefault="00825344" w:rsidP="00AC20C5">
      <w:pPr>
        <w:spacing w:after="0" w:line="240" w:lineRule="auto"/>
      </w:pPr>
    </w:p>
    <w:p w14:paraId="0C7108E6" w14:textId="77777777" w:rsidR="0065222C" w:rsidRPr="00C51385" w:rsidRDefault="0065222C" w:rsidP="00AC20C5">
      <w:pPr>
        <w:spacing w:after="0" w:line="240" w:lineRule="auto"/>
        <w:rPr>
          <w:b/>
          <w:bCs/>
        </w:rPr>
      </w:pPr>
      <w:r>
        <w:rPr>
          <w:b/>
          <w:bCs/>
        </w:rPr>
        <w:t>The debates about politics ‘in’ or ‘of’ the poem</w:t>
      </w:r>
    </w:p>
    <w:p w14:paraId="17B21AA7" w14:textId="41630929" w:rsidR="0065222C" w:rsidRDefault="0065222C" w:rsidP="00AC20C5">
      <w:pPr>
        <w:spacing w:after="0" w:line="240" w:lineRule="auto"/>
      </w:pPr>
      <w:r>
        <w:rPr>
          <w:rFonts w:cstheme="minorHAnsi"/>
        </w:rPr>
        <w:t>•</w:t>
      </w:r>
      <w:r w:rsidRPr="00825344">
        <w:rPr>
          <w:u w:val="single"/>
        </w:rPr>
        <w:t>Jerome McGann (1979):</w:t>
      </w:r>
      <w:r>
        <w:t xml:space="preserve"> escapist fantasy, refusing its own context of political repression and suffering.</w:t>
      </w:r>
    </w:p>
    <w:p w14:paraId="0F63508D" w14:textId="77777777" w:rsidR="00AC20C5" w:rsidRDefault="00AC20C5" w:rsidP="00AC20C5">
      <w:pPr>
        <w:spacing w:after="0" w:line="240" w:lineRule="auto"/>
      </w:pPr>
    </w:p>
    <w:p w14:paraId="7FAB69D0" w14:textId="664ADAD0" w:rsid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val="en-US" w:eastAsia="en-GB"/>
        </w:rPr>
        <w:t xml:space="preserve">• </w:t>
      </w:r>
      <w:r w:rsidRPr="00825344">
        <w:rPr>
          <w:rFonts w:ascii="Calibri" w:eastAsia="Times New Roman" w:hAnsi="Calibri" w:cs="Calibri"/>
          <w:color w:val="000000"/>
          <w:u w:val="single"/>
          <w:lang w:eastAsia="en-GB"/>
        </w:rPr>
        <w:t xml:space="preserve">William Keach </w:t>
      </w:r>
      <w:r w:rsidR="00973786">
        <w:rPr>
          <w:rFonts w:ascii="Calibri" w:eastAsia="Times New Roman" w:hAnsi="Calibri" w:cs="Calibri"/>
          <w:color w:val="000000"/>
          <w:u w:val="single"/>
          <w:lang w:eastAsia="en-GB"/>
        </w:rPr>
        <w:t xml:space="preserve">(1986) </w:t>
      </w:r>
      <w:r w:rsidRPr="00825344">
        <w:rPr>
          <w:rFonts w:ascii="Calibri" w:eastAsia="Times New Roman" w:hAnsi="Calibri" w:cs="Calibri"/>
          <w:color w:val="000000"/>
          <w:u w:val="single"/>
          <w:lang w:eastAsia="en-GB"/>
        </w:rPr>
        <w:t>and Nicholas Roe</w:t>
      </w:r>
      <w:r w:rsidR="00973786">
        <w:rPr>
          <w:rFonts w:ascii="Calibri" w:eastAsia="Times New Roman" w:hAnsi="Calibri" w:cs="Calibri"/>
          <w:color w:val="000000"/>
          <w:u w:val="single"/>
          <w:lang w:eastAsia="en-GB"/>
        </w:rPr>
        <w:t xml:space="preserve"> (1997)</w:t>
      </w:r>
      <w:r>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read in </w:t>
      </w:r>
      <w:r>
        <w:rPr>
          <w:rFonts w:ascii="Calibri" w:eastAsia="Times New Roman" w:hAnsi="Calibri" w:cs="Calibri"/>
          <w:color w:val="000000"/>
          <w:lang w:eastAsia="en-GB"/>
        </w:rPr>
        <w:t xml:space="preserve">the context of </w:t>
      </w:r>
      <w:r w:rsidRPr="004748B1">
        <w:rPr>
          <w:rFonts w:ascii="Calibri" w:eastAsia="Times New Roman" w:hAnsi="Calibri" w:cs="Calibri"/>
          <w:color w:val="000000"/>
          <w:lang w:eastAsia="en-GB"/>
        </w:rPr>
        <w:t xml:space="preserve">Leigh Hunt’s </w:t>
      </w:r>
      <w:r>
        <w:rPr>
          <w:rFonts w:ascii="Calibri" w:eastAsia="Times New Roman" w:hAnsi="Calibri" w:cs="Calibri"/>
          <w:color w:val="000000"/>
          <w:lang w:eastAsia="en-GB"/>
        </w:rPr>
        <w:t xml:space="preserve">‘Autumn’ section of his </w:t>
      </w:r>
      <w:r w:rsidRPr="004748B1">
        <w:rPr>
          <w:rFonts w:ascii="Calibri" w:eastAsia="Times New Roman" w:hAnsi="Calibri" w:cs="Calibri"/>
          <w:color w:val="000000"/>
          <w:lang w:eastAsia="en-GB"/>
        </w:rPr>
        <w:t xml:space="preserve">‘Calendar of Nature’ </w:t>
      </w:r>
      <w:r>
        <w:rPr>
          <w:rFonts w:ascii="Calibri" w:eastAsia="Times New Roman" w:hAnsi="Calibri" w:cs="Calibri"/>
          <w:color w:val="000000"/>
          <w:lang w:eastAsia="en-GB"/>
        </w:rPr>
        <w:t>(</w:t>
      </w:r>
      <w:r w:rsidRPr="004748B1">
        <w:rPr>
          <w:rFonts w:ascii="Calibri" w:eastAsia="Times New Roman" w:hAnsi="Calibri" w:cs="Calibri"/>
          <w:i/>
          <w:iCs/>
          <w:color w:val="000000"/>
          <w:lang w:eastAsia="en-GB"/>
        </w:rPr>
        <w:t>Th</w:t>
      </w:r>
      <w:r>
        <w:rPr>
          <w:rFonts w:ascii="Calibri" w:eastAsia="Times New Roman" w:hAnsi="Calibri" w:cs="Calibri"/>
          <w:i/>
          <w:iCs/>
          <w:color w:val="000000"/>
          <w:lang w:eastAsia="en-GB"/>
        </w:rPr>
        <w:t xml:space="preserve">e </w:t>
      </w:r>
      <w:r w:rsidRPr="004748B1">
        <w:rPr>
          <w:rFonts w:ascii="Calibri" w:eastAsia="Times New Roman" w:hAnsi="Calibri" w:cs="Calibri"/>
          <w:i/>
          <w:iCs/>
          <w:color w:val="000000"/>
          <w:lang w:eastAsia="en-GB"/>
        </w:rPr>
        <w:t>Examiner </w:t>
      </w:r>
      <w:r w:rsidRPr="004748B1">
        <w:rPr>
          <w:rFonts w:ascii="Calibri" w:eastAsia="Times New Roman" w:hAnsi="Calibri" w:cs="Calibri"/>
          <w:color w:val="000000"/>
          <w:lang w:eastAsia="en-GB"/>
        </w:rPr>
        <w:t>6 Sept 1819</w:t>
      </w:r>
      <w:r>
        <w:rPr>
          <w:rFonts w:ascii="Calibri" w:eastAsia="Times New Roman" w:hAnsi="Calibri" w:cs="Calibri"/>
          <w:color w:val="000000"/>
          <w:lang w:eastAsia="en-GB"/>
        </w:rPr>
        <w:t xml:space="preserve">) in which </w:t>
      </w:r>
      <w:r w:rsidRPr="004748B1">
        <w:rPr>
          <w:rFonts w:ascii="Calibri" w:eastAsia="Times New Roman" w:hAnsi="Calibri" w:cs="Calibri"/>
          <w:color w:val="000000"/>
          <w:lang w:eastAsia="en-GB"/>
        </w:rPr>
        <w:t>autumn offers a ‘lesson on justice’</w:t>
      </w:r>
      <w:r>
        <w:rPr>
          <w:rFonts w:ascii="Calibri" w:eastAsia="Times New Roman" w:hAnsi="Calibri" w:cs="Calibri"/>
          <w:color w:val="000000"/>
          <w:lang w:eastAsia="en-GB"/>
        </w:rPr>
        <w:t>, the poem sees the generosity and abundance of nature as an admonishment of injustice.</w:t>
      </w:r>
    </w:p>
    <w:p w14:paraId="0FCF9FE3" w14:textId="2B358D26" w:rsid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p>
    <w:p w14:paraId="5400AFC7" w14:textId="0CA24BAD" w:rsidR="0065222C" w:rsidRPr="0065222C" w:rsidRDefault="0065222C" w:rsidP="00AC20C5">
      <w:pPr>
        <w:shd w:val="clear" w:color="auto" w:fill="FFFFFF"/>
        <w:spacing w:after="0" w:line="240" w:lineRule="auto"/>
        <w:textAlignment w:val="baseline"/>
        <w:rPr>
          <w:rFonts w:ascii="Calibri" w:eastAsia="Times New Roman" w:hAnsi="Calibri" w:cs="Calibri"/>
          <w:color w:val="000000"/>
          <w:u w:val="single"/>
          <w:lang w:val="en-US" w:eastAsia="en-GB"/>
        </w:rPr>
      </w:pPr>
      <w:r w:rsidRPr="0065222C">
        <w:rPr>
          <w:rFonts w:ascii="Calibri" w:eastAsia="Times New Roman" w:hAnsi="Calibri" w:cs="Calibri"/>
          <w:color w:val="000000"/>
          <w:u w:val="single"/>
          <w:lang w:val="en-US" w:eastAsia="en-GB"/>
        </w:rPr>
        <w:t>Summer &amp; August 1819</w:t>
      </w:r>
    </w:p>
    <w:p w14:paraId="7BE6D122" w14:textId="26246F66"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 xml:space="preserve">14 August: Keats settles in lodgings in Winchester, </w:t>
      </w:r>
      <w:proofErr w:type="gramStart"/>
      <w:r w:rsidRPr="0065222C">
        <w:rPr>
          <w:rFonts w:ascii="Calibri" w:eastAsia="Times New Roman" w:hAnsi="Calibri" w:cs="Calibri"/>
          <w:color w:val="000000"/>
          <w:lang w:val="en-US" w:eastAsia="en-GB"/>
        </w:rPr>
        <w:t>Hampshire</w:t>
      </w:r>
      <w:proofErr w:type="gramEnd"/>
    </w:p>
    <w:p w14:paraId="60F20C72" w14:textId="498BF4AD"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 xml:space="preserve">16 August: the ‘Peterloo Massacre’: 11 killed and hundreds wounded. </w:t>
      </w:r>
    </w:p>
    <w:p w14:paraId="38542E14" w14:textId="5762B6B6"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 xml:space="preserve">6 September: Leigh Hunt’s ‘Calendar of Nature’ in </w:t>
      </w:r>
      <w:r w:rsidRPr="0065222C">
        <w:rPr>
          <w:rFonts w:ascii="Calibri" w:eastAsia="Times New Roman" w:hAnsi="Calibri" w:cs="Calibri"/>
          <w:i/>
          <w:iCs/>
          <w:color w:val="000000"/>
          <w:lang w:val="en-US" w:eastAsia="en-GB"/>
        </w:rPr>
        <w:t xml:space="preserve">The Examiner </w:t>
      </w:r>
      <w:r w:rsidRPr="0065222C">
        <w:rPr>
          <w:rFonts w:ascii="Calibri" w:eastAsia="Times New Roman" w:hAnsi="Calibri" w:cs="Calibri"/>
          <w:color w:val="000000"/>
          <w:lang w:val="en-US" w:eastAsia="en-GB"/>
        </w:rPr>
        <w:t>quotes Spenser and Shelley and suggests that Autumn offers a ‘lesson on justice’ in distributing plenty to all.</w:t>
      </w:r>
    </w:p>
    <w:p w14:paraId="10787C4D" w14:textId="377F4C2C"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11 – 15 September: Keats in London, during which visit he sees Henry Hunt (‘Orator Hunt’) return to London with crowds turning out to welcome him (13 September).</w:t>
      </w:r>
    </w:p>
    <w:p w14:paraId="794550F0" w14:textId="151FBFA8"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18 September: Keats’s letter-journal to his brother George writes of radical hopes of political progress as inexorable (</w:t>
      </w:r>
      <w:proofErr w:type="gramStart"/>
      <w:r w:rsidRPr="0065222C">
        <w:rPr>
          <w:rFonts w:ascii="Calibri" w:eastAsia="Times New Roman" w:hAnsi="Calibri" w:cs="Calibri"/>
          <w:color w:val="000000"/>
          <w:lang w:val="en-US" w:eastAsia="en-GB"/>
        </w:rPr>
        <w:t>e.g.</w:t>
      </w:r>
      <w:proofErr w:type="gramEnd"/>
      <w:r w:rsidRPr="0065222C">
        <w:rPr>
          <w:rFonts w:ascii="Calibri" w:eastAsia="Times New Roman" w:hAnsi="Calibri" w:cs="Calibri"/>
          <w:color w:val="000000"/>
          <w:lang w:val="en-US" w:eastAsia="en-GB"/>
        </w:rPr>
        <w:t xml:space="preserve"> the ‘seed of opposition to Tyranny was swelling in the ground till it burst out in the French Revolution’) and of the 13 Sept events in London.</w:t>
      </w:r>
    </w:p>
    <w:p w14:paraId="475F8EDD" w14:textId="77777777"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 xml:space="preserve">19 September: Keats’s walk inspires him to write ‘To Autumn’. </w:t>
      </w:r>
    </w:p>
    <w:p w14:paraId="37F88BE1" w14:textId="77777777" w:rsidR="0065222C" w:rsidRP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sidRPr="0065222C">
        <w:rPr>
          <w:rFonts w:ascii="Calibri" w:eastAsia="Times New Roman" w:hAnsi="Calibri" w:cs="Calibri"/>
          <w:color w:val="000000"/>
          <w:lang w:val="en-US" w:eastAsia="en-GB"/>
        </w:rPr>
        <w:t xml:space="preserve">21 September: Keats writes of his intention to support himself by becoming a political journalist. </w:t>
      </w:r>
    </w:p>
    <w:p w14:paraId="4074C1CC" w14:textId="77777777" w:rsid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p>
    <w:p w14:paraId="2A44DA6E" w14:textId="256AD253" w:rsidR="0065222C" w:rsidRDefault="0065222C" w:rsidP="00AC20C5">
      <w:pPr>
        <w:shd w:val="clear" w:color="auto" w:fill="FFFFFF"/>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val="en-US" w:eastAsia="en-GB"/>
        </w:rPr>
        <w:t xml:space="preserve">• </w:t>
      </w:r>
      <w:r w:rsidRPr="00825344">
        <w:rPr>
          <w:rFonts w:ascii="Calibri" w:eastAsia="Times New Roman" w:hAnsi="Calibri" w:cs="Calibri"/>
          <w:color w:val="000000"/>
          <w:u w:val="single"/>
          <w:lang w:eastAsia="en-GB"/>
        </w:rPr>
        <w:t xml:space="preserve">William Keach </w:t>
      </w:r>
      <w:r w:rsidR="00973786">
        <w:rPr>
          <w:rFonts w:ascii="Calibri" w:eastAsia="Times New Roman" w:hAnsi="Calibri" w:cs="Calibri"/>
          <w:color w:val="000000"/>
          <w:u w:val="single"/>
          <w:lang w:eastAsia="en-GB"/>
        </w:rPr>
        <w:t xml:space="preserve">(1986) </w:t>
      </w:r>
      <w:r w:rsidRPr="00825344">
        <w:rPr>
          <w:rFonts w:ascii="Calibri" w:eastAsia="Times New Roman" w:hAnsi="Calibri" w:cs="Calibri"/>
          <w:color w:val="000000"/>
          <w:u w:val="single"/>
          <w:lang w:eastAsia="en-GB"/>
        </w:rPr>
        <w:t>and Andrew Motion</w:t>
      </w:r>
      <w:r w:rsidR="00973786">
        <w:rPr>
          <w:rFonts w:ascii="Calibri" w:eastAsia="Times New Roman" w:hAnsi="Calibri" w:cs="Calibri"/>
          <w:color w:val="000000"/>
          <w:u w:val="single"/>
          <w:lang w:eastAsia="en-GB"/>
        </w:rPr>
        <w:t xml:space="preserve"> (1997)</w:t>
      </w:r>
      <w:r>
        <w:rPr>
          <w:rFonts w:ascii="Calibri" w:eastAsia="Times New Roman" w:hAnsi="Calibri" w:cs="Calibri"/>
          <w:color w:val="000000"/>
          <w:lang w:eastAsia="en-GB"/>
        </w:rPr>
        <w:t xml:space="preserve">: </w:t>
      </w:r>
      <w:r w:rsidRPr="004748B1">
        <w:rPr>
          <w:rFonts w:ascii="Calibri" w:eastAsia="Times New Roman" w:hAnsi="Calibri" w:cs="Calibri"/>
          <w:color w:val="000000"/>
          <w:lang w:eastAsia="en-GB"/>
        </w:rPr>
        <w:t xml:space="preserve">the labour of the bees </w:t>
      </w:r>
      <w:r>
        <w:rPr>
          <w:rFonts w:ascii="Calibri" w:eastAsia="Times New Roman" w:hAnsi="Calibri" w:cs="Calibri"/>
          <w:color w:val="000000"/>
          <w:lang w:eastAsia="en-GB"/>
        </w:rPr>
        <w:t xml:space="preserve">is compared to the plight of </w:t>
      </w:r>
      <w:r w:rsidRPr="004748B1">
        <w:rPr>
          <w:rFonts w:ascii="Calibri" w:eastAsia="Times New Roman" w:hAnsi="Calibri" w:cs="Calibri"/>
          <w:color w:val="000000"/>
          <w:lang w:eastAsia="en-GB"/>
        </w:rPr>
        <w:t xml:space="preserve">Scottish labourers </w:t>
      </w:r>
      <w:r>
        <w:rPr>
          <w:rFonts w:ascii="Calibri" w:eastAsia="Times New Roman" w:hAnsi="Calibri" w:cs="Calibri"/>
          <w:color w:val="000000"/>
          <w:lang w:eastAsia="en-GB"/>
        </w:rPr>
        <w:t>Keats</w:t>
      </w:r>
      <w:r w:rsidRPr="004748B1">
        <w:rPr>
          <w:rFonts w:ascii="Calibri" w:eastAsia="Times New Roman" w:hAnsi="Calibri" w:cs="Calibri"/>
          <w:color w:val="000000"/>
          <w:lang w:eastAsia="en-GB"/>
        </w:rPr>
        <w:t xml:space="preserve"> had seen on his walking tour </w:t>
      </w:r>
      <w:r>
        <w:rPr>
          <w:rFonts w:ascii="Calibri" w:eastAsia="Times New Roman" w:hAnsi="Calibri" w:cs="Calibri"/>
          <w:color w:val="000000"/>
          <w:lang w:eastAsia="en-GB"/>
        </w:rPr>
        <w:t xml:space="preserve">(summer 1818); gleaning had been made illegal in 1818 </w:t>
      </w:r>
      <w:r>
        <w:rPr>
          <w:rFonts w:ascii="Calibri" w:eastAsia="Times New Roman" w:hAnsi="Calibri" w:cs="Calibri"/>
          <w:color w:val="000000"/>
          <w:lang w:eastAsia="en-GB"/>
        </w:rPr>
        <w:t>(</w:t>
      </w:r>
      <w:r w:rsidRPr="004748B1">
        <w:rPr>
          <w:rFonts w:ascii="Calibri" w:eastAsia="Times New Roman" w:hAnsi="Calibri" w:cs="Calibri"/>
          <w:color w:val="000000"/>
          <w:lang w:eastAsia="en-GB"/>
        </w:rPr>
        <w:t>v Vendler</w:t>
      </w:r>
      <w:r>
        <w:rPr>
          <w:rFonts w:ascii="Calibri" w:eastAsia="Times New Roman" w:hAnsi="Calibri" w:cs="Calibri"/>
          <w:color w:val="000000"/>
          <w:lang w:eastAsia="en-GB"/>
        </w:rPr>
        <w:t xml:space="preserve">, who writes of the </w:t>
      </w:r>
      <w:r w:rsidRPr="004748B1">
        <w:rPr>
          <w:rFonts w:ascii="Calibri" w:eastAsia="Times New Roman" w:hAnsi="Calibri" w:cs="Calibri"/>
          <w:color w:val="000000"/>
          <w:lang w:eastAsia="en-GB"/>
        </w:rPr>
        <w:t>hedonistic pleasures of the bees</w:t>
      </w:r>
      <w:r>
        <w:rPr>
          <w:rFonts w:ascii="Calibri" w:eastAsia="Times New Roman" w:hAnsi="Calibri" w:cs="Calibri"/>
          <w:color w:val="000000"/>
          <w:lang w:eastAsia="en-GB"/>
        </w:rPr>
        <w:t>)</w:t>
      </w:r>
      <w:r w:rsidRPr="004748B1">
        <w:rPr>
          <w:rFonts w:ascii="Calibri" w:eastAsia="Times New Roman" w:hAnsi="Calibri" w:cs="Calibri"/>
          <w:color w:val="000000"/>
          <w:lang w:eastAsia="en-GB"/>
        </w:rPr>
        <w:t>.</w:t>
      </w:r>
    </w:p>
    <w:p w14:paraId="00FF5EA9" w14:textId="77777777" w:rsidR="00AC20C5" w:rsidRDefault="00AC20C5" w:rsidP="00AC20C5">
      <w:pPr>
        <w:spacing w:after="0" w:line="240" w:lineRule="auto"/>
        <w:rPr>
          <w:rFonts w:cstheme="minorHAnsi"/>
        </w:rPr>
      </w:pPr>
    </w:p>
    <w:p w14:paraId="5B1BBBBC" w14:textId="4E9D3B79" w:rsidR="0065222C" w:rsidRDefault="00AC20C5" w:rsidP="00AC20C5">
      <w:pPr>
        <w:spacing w:after="0" w:line="240" w:lineRule="auto"/>
        <w:rPr>
          <w:lang w:val="en-US"/>
        </w:rPr>
      </w:pPr>
      <w:r w:rsidRPr="00825344">
        <w:rPr>
          <w:rFonts w:cstheme="minorHAnsi"/>
        </w:rPr>
        <w:t xml:space="preserve">• </w:t>
      </w:r>
      <w:r w:rsidR="0065222C" w:rsidRPr="00825344">
        <w:rPr>
          <w:u w:val="single"/>
          <w:lang w:val="en-US"/>
        </w:rPr>
        <w:t>Bennett</w:t>
      </w:r>
      <w:r w:rsidR="00973786">
        <w:rPr>
          <w:u w:val="single"/>
          <w:lang w:val="en-US"/>
        </w:rPr>
        <w:t xml:space="preserve"> (1991)</w:t>
      </w:r>
      <w:r w:rsidR="0065222C">
        <w:rPr>
          <w:lang w:val="en-US"/>
        </w:rPr>
        <w:t xml:space="preserve">: that the poem should be read in relation to agrarian politics (the Corn Laws of 1815, enclosures, the condition of the rural poor): e.g. compares the ‘capital accumulation of stanza one’ and ‘work and its negation in stanza two’ (344). </w:t>
      </w:r>
    </w:p>
    <w:p w14:paraId="121342CA" w14:textId="77777777" w:rsidR="00AC20C5" w:rsidRDefault="00AC20C5" w:rsidP="00AC20C5">
      <w:pPr>
        <w:spacing w:after="0" w:line="240" w:lineRule="auto"/>
        <w:rPr>
          <w:rFonts w:cstheme="minorHAnsi"/>
        </w:rPr>
      </w:pPr>
      <w:bookmarkStart w:id="0" w:name="_Hlk65954576"/>
    </w:p>
    <w:p w14:paraId="1E5EF46E" w14:textId="7015DEDA" w:rsidR="00AC20C5" w:rsidRDefault="00AC20C5" w:rsidP="00AC20C5">
      <w:pPr>
        <w:spacing w:after="0" w:line="240" w:lineRule="auto"/>
        <w:rPr>
          <w:lang w:val="en-US"/>
        </w:rPr>
      </w:pPr>
      <w:r w:rsidRPr="00825344">
        <w:rPr>
          <w:rFonts w:cstheme="minorHAnsi"/>
        </w:rPr>
        <w:t xml:space="preserve">• </w:t>
      </w:r>
      <w:r w:rsidRPr="00AC20C5">
        <w:rPr>
          <w:u w:val="single"/>
          <w:lang w:val="en-US"/>
        </w:rPr>
        <w:t>Turley, Archer and Thomas</w:t>
      </w:r>
      <w:r>
        <w:rPr>
          <w:u w:val="single"/>
          <w:lang w:val="en-US"/>
        </w:rPr>
        <w:t xml:space="preserve"> (2012</w:t>
      </w:r>
      <w:r w:rsidRPr="00AC20C5">
        <w:rPr>
          <w:u w:val="single"/>
          <w:lang w:val="en-US"/>
        </w:rPr>
        <w:t>)</w:t>
      </w:r>
      <w:r w:rsidRPr="00AC20C5">
        <w:rPr>
          <w:lang w:val="en-US"/>
        </w:rPr>
        <w:t>: s</w:t>
      </w:r>
      <w:r w:rsidRPr="00AC20C5">
        <w:rPr>
          <w:lang w:val="en-US"/>
        </w:rPr>
        <w:t>tudy</w:t>
      </w:r>
      <w:r>
        <w:rPr>
          <w:lang w:val="en-US"/>
        </w:rPr>
        <w:t xml:space="preserve"> the poem alongside land lease records, Robbins’s guidebooks to </w:t>
      </w:r>
      <w:proofErr w:type="spellStart"/>
      <w:r>
        <w:rPr>
          <w:lang w:val="en-US"/>
        </w:rPr>
        <w:t>WInchester</w:t>
      </w:r>
      <w:proofErr w:type="spellEnd"/>
      <w:r>
        <w:rPr>
          <w:lang w:val="en-US"/>
        </w:rPr>
        <w:t xml:space="preserve"> and other </w:t>
      </w:r>
      <w:r>
        <w:rPr>
          <w:lang w:val="en-US"/>
        </w:rPr>
        <w:t xml:space="preserve">local </w:t>
      </w:r>
      <w:r>
        <w:rPr>
          <w:lang w:val="en-US"/>
        </w:rPr>
        <w:t xml:space="preserve">sources to show that the poem resists a concerted ‘capitalist’ reimagining of Winchester and its agricultural heritage, </w:t>
      </w:r>
      <w:proofErr w:type="gramStart"/>
      <w:r>
        <w:rPr>
          <w:lang w:val="en-US"/>
        </w:rPr>
        <w:t>and</w:t>
      </w:r>
      <w:r>
        <w:rPr>
          <w:lang w:val="en-US"/>
        </w:rPr>
        <w:t xml:space="preserve"> also</w:t>
      </w:r>
      <w:proofErr w:type="gramEnd"/>
      <w:r>
        <w:rPr>
          <w:lang w:val="en-US"/>
        </w:rPr>
        <w:t xml:space="preserve"> takes its </w:t>
      </w:r>
      <w:r>
        <w:rPr>
          <w:lang w:val="en-US"/>
        </w:rPr>
        <w:t>place</w:t>
      </w:r>
      <w:r>
        <w:rPr>
          <w:lang w:val="en-US"/>
        </w:rPr>
        <w:t xml:space="preserve"> in a wider contemporary debate around </w:t>
      </w:r>
      <w:proofErr w:type="spellStart"/>
      <w:r>
        <w:rPr>
          <w:lang w:val="en-US"/>
        </w:rPr>
        <w:t>labour</w:t>
      </w:r>
      <w:proofErr w:type="spellEnd"/>
      <w:r>
        <w:rPr>
          <w:lang w:val="en-US"/>
        </w:rPr>
        <w:t xml:space="preserve"> and ‘idleness’, surplus and profit. </w:t>
      </w:r>
    </w:p>
    <w:bookmarkEnd w:id="0"/>
    <w:p w14:paraId="038F1B49" w14:textId="77777777" w:rsidR="00AC20C5" w:rsidRDefault="00AC20C5" w:rsidP="00AC20C5">
      <w:pPr>
        <w:spacing w:after="0" w:line="240" w:lineRule="auto"/>
        <w:rPr>
          <w:rFonts w:cstheme="minorHAnsi"/>
        </w:rPr>
      </w:pPr>
    </w:p>
    <w:p w14:paraId="2E60707A" w14:textId="07F600F3" w:rsidR="0065222C" w:rsidRDefault="00825344" w:rsidP="00AC20C5">
      <w:pPr>
        <w:spacing w:after="0" w:line="240" w:lineRule="auto"/>
        <w:rPr>
          <w:lang w:val="en-US"/>
        </w:rPr>
      </w:pPr>
      <w:r w:rsidRPr="00825344">
        <w:rPr>
          <w:rFonts w:cstheme="minorHAnsi"/>
        </w:rPr>
        <w:t xml:space="preserve">• </w:t>
      </w:r>
      <w:r w:rsidR="0065222C" w:rsidRPr="0011707B">
        <w:rPr>
          <w:u w:val="single"/>
        </w:rPr>
        <w:t>Richard Cronin</w:t>
      </w:r>
      <w:r w:rsidR="0065222C" w:rsidRPr="0041198A">
        <w:rPr>
          <w:u w:val="single"/>
        </w:rPr>
        <w:t xml:space="preserve"> (2018)</w:t>
      </w:r>
      <w:r w:rsidR="0065222C" w:rsidRPr="0011707B">
        <w:t xml:space="preserve">: </w:t>
      </w:r>
      <w:r w:rsidR="0065222C">
        <w:t>‘</w:t>
      </w:r>
      <w:r w:rsidR="0065222C" w:rsidRPr="0011707B">
        <w:t>It may be that the distinctive character of the poems of 1820 is achieved because Keats has found a way to pursue at once his two contradictory ambitions, to write poems that achieve a formal perfection that releases them from the contingent, and yet poems that also contrive to speak to the contingent world in which we all of us live our lives. It is not political poetry exactly, but it is a poetry that worries more searchingly than most about how far political poetry is possible</w:t>
      </w:r>
      <w:r w:rsidR="0065222C">
        <w:t>’</w:t>
      </w:r>
      <w:r>
        <w:t xml:space="preserve"> (115).</w:t>
      </w:r>
      <w:r w:rsidR="0065222C" w:rsidRPr="0011707B">
        <w:t xml:space="preserve"> </w:t>
      </w:r>
      <w:r w:rsidR="0065222C">
        <w:t xml:space="preserve"> </w:t>
      </w:r>
    </w:p>
    <w:p w14:paraId="7FB4EE02" w14:textId="77777777" w:rsidR="0065222C" w:rsidRDefault="0065222C" w:rsidP="00AC20C5">
      <w:pPr>
        <w:spacing w:after="0" w:line="240" w:lineRule="auto"/>
      </w:pPr>
    </w:p>
    <w:p w14:paraId="69A744C1" w14:textId="77777777" w:rsidR="00AC20C5" w:rsidRDefault="00AC20C5" w:rsidP="00AC20C5">
      <w:pPr>
        <w:spacing w:after="0" w:line="240" w:lineRule="auto"/>
        <w:rPr>
          <w:b/>
          <w:bCs/>
          <w:lang w:val="en-US"/>
        </w:rPr>
      </w:pPr>
    </w:p>
    <w:p w14:paraId="5E0CAA4E" w14:textId="77777777" w:rsidR="00AC20C5" w:rsidRDefault="00AC20C5" w:rsidP="00AC20C5">
      <w:pPr>
        <w:spacing w:after="0" w:line="240" w:lineRule="auto"/>
        <w:rPr>
          <w:b/>
          <w:bCs/>
          <w:lang w:val="en-US"/>
        </w:rPr>
      </w:pPr>
    </w:p>
    <w:p w14:paraId="3E9E0669" w14:textId="51059407" w:rsidR="009E757F" w:rsidRPr="009E757F" w:rsidRDefault="009E757F" w:rsidP="00AC20C5">
      <w:pPr>
        <w:spacing w:after="0" w:line="240" w:lineRule="auto"/>
        <w:rPr>
          <w:b/>
          <w:bCs/>
        </w:rPr>
      </w:pPr>
      <w:r w:rsidRPr="00C51385">
        <w:rPr>
          <w:b/>
          <w:bCs/>
          <w:lang w:val="en-US"/>
        </w:rPr>
        <w:lastRenderedPageBreak/>
        <w:t>Ecocritic</w:t>
      </w:r>
      <w:r w:rsidR="00C51385" w:rsidRPr="00C51385">
        <w:rPr>
          <w:b/>
          <w:bCs/>
          <w:lang w:val="en-US"/>
        </w:rPr>
        <w:t>al readings</w:t>
      </w:r>
    </w:p>
    <w:p w14:paraId="6FCF682E" w14:textId="5C7441AD" w:rsidR="00275B90" w:rsidRDefault="00AC20C5" w:rsidP="00AC20C5">
      <w:pPr>
        <w:spacing w:after="0" w:line="240" w:lineRule="auto"/>
        <w:rPr>
          <w:lang w:val="en-US"/>
        </w:rPr>
      </w:pPr>
      <w:r w:rsidRPr="00825344">
        <w:rPr>
          <w:rFonts w:cstheme="minorHAnsi"/>
        </w:rPr>
        <w:t xml:space="preserve">• </w:t>
      </w:r>
      <w:r w:rsidR="009E757F" w:rsidRPr="00825344">
        <w:rPr>
          <w:u w:val="single"/>
          <w:lang w:val="en-US"/>
        </w:rPr>
        <w:t>Jonathan Bate</w:t>
      </w:r>
      <w:r w:rsidR="00973786">
        <w:rPr>
          <w:u w:val="single"/>
          <w:lang w:val="en-US"/>
        </w:rPr>
        <w:t xml:space="preserve"> (2000)</w:t>
      </w:r>
      <w:r w:rsidR="009E757F" w:rsidRPr="009E757F">
        <w:rPr>
          <w:lang w:val="en-US"/>
        </w:rPr>
        <w:t>:  a meditation of the dependency of human culture on links and reciprocal relations with nature.</w:t>
      </w:r>
      <w:r w:rsidR="00C51385" w:rsidRPr="00C51385">
        <w:rPr>
          <w:rFonts w:ascii="Calibri" w:eastAsia="Calibri" w:hAnsi="Calibri" w:cs="Times New Roman"/>
          <w:color w:val="000000" w:themeColor="text1"/>
          <w:kern w:val="24"/>
          <w:sz w:val="36"/>
          <w:szCs w:val="36"/>
          <w:lang w:val="en-US" w:eastAsia="en-GB"/>
        </w:rPr>
        <w:t xml:space="preserve"> </w:t>
      </w:r>
      <w:r w:rsidR="00C51385">
        <w:rPr>
          <w:lang w:val="en-US"/>
        </w:rPr>
        <w:t>‘</w:t>
      </w:r>
      <w:r w:rsidR="00C51385" w:rsidRPr="00C51385">
        <w:rPr>
          <w:lang w:val="en-US"/>
        </w:rPr>
        <w:t>Linguistically, it achieves its most characteristic effects by making metaphors seem like metonymies. Mist and fruitfulness, bosom-friend and sun, load and bless - not ‘naturally’ linked (like bird and wings). One would expect the yoking of them to have the element of surprise, even violence, associated with metaphor. But Keats makes the links seem natural</w:t>
      </w:r>
      <w:r w:rsidR="00C51385">
        <w:rPr>
          <w:lang w:val="en-US"/>
        </w:rPr>
        <w:t>’</w:t>
      </w:r>
      <w:r w:rsidR="00C51385" w:rsidRPr="00C51385">
        <w:rPr>
          <w:lang w:val="en-US"/>
        </w:rPr>
        <w:t xml:space="preserve"> (104)</w:t>
      </w:r>
      <w:r w:rsidR="0065222C">
        <w:rPr>
          <w:lang w:val="en-US"/>
        </w:rPr>
        <w:t>; ‘</w:t>
      </w:r>
      <w:r w:rsidR="00275B90">
        <w:rPr>
          <w:lang w:val="en-US"/>
        </w:rPr>
        <w:t xml:space="preserve">Death, when combined with ripeness, </w:t>
      </w:r>
      <w:r w:rsidR="00825344">
        <w:rPr>
          <w:lang w:val="en-US"/>
        </w:rPr>
        <w:t>[Keats]</w:t>
      </w:r>
      <w:r w:rsidR="00275B90">
        <w:rPr>
          <w:lang w:val="en-US"/>
        </w:rPr>
        <w:t xml:space="preserve"> persuades himself, is not to be mourned, </w:t>
      </w:r>
      <w:proofErr w:type="gramStart"/>
      <w:r w:rsidR="00275B90">
        <w:rPr>
          <w:lang w:val="en-US"/>
        </w:rPr>
        <w:t>as long as</w:t>
      </w:r>
      <w:proofErr w:type="gramEnd"/>
      <w:r w:rsidR="00275B90">
        <w:rPr>
          <w:lang w:val="en-US"/>
        </w:rPr>
        <w:t xml:space="preserve"> the harvest is safely stored. (265). </w:t>
      </w:r>
    </w:p>
    <w:p w14:paraId="729F589B" w14:textId="66172F23" w:rsidR="00825344" w:rsidRDefault="00825344" w:rsidP="00AC20C5">
      <w:pPr>
        <w:spacing w:after="0" w:line="240" w:lineRule="auto"/>
        <w:rPr>
          <w:lang w:val="en-US"/>
        </w:rPr>
      </w:pPr>
    </w:p>
    <w:p w14:paraId="2278433C" w14:textId="7AB80F63" w:rsidR="00825344" w:rsidRDefault="00825344" w:rsidP="00AC20C5">
      <w:pPr>
        <w:spacing w:after="0" w:line="240" w:lineRule="auto"/>
        <w:rPr>
          <w:lang w:val="en-US"/>
        </w:rPr>
      </w:pPr>
    </w:p>
    <w:p w14:paraId="02334AD2" w14:textId="681CAE4D" w:rsidR="00825344" w:rsidRPr="00AC20C5" w:rsidRDefault="00825344" w:rsidP="00AC20C5">
      <w:pPr>
        <w:spacing w:after="0" w:line="240" w:lineRule="auto"/>
        <w:rPr>
          <w:b/>
          <w:bCs/>
          <w:lang w:val="en-US"/>
        </w:rPr>
      </w:pPr>
      <w:r w:rsidRPr="00AC20C5">
        <w:rPr>
          <w:b/>
          <w:bCs/>
          <w:lang w:val="en-US"/>
        </w:rPr>
        <w:t>Bibliography</w:t>
      </w:r>
    </w:p>
    <w:p w14:paraId="269B0137" w14:textId="1AA7C5D6" w:rsidR="00973786" w:rsidRDefault="00973786" w:rsidP="00AC20C5">
      <w:pPr>
        <w:spacing w:after="0" w:line="240" w:lineRule="auto"/>
        <w:rPr>
          <w:i/>
          <w:iCs/>
          <w:lang w:val="en-US"/>
        </w:rPr>
      </w:pPr>
      <w:r>
        <w:rPr>
          <w:lang w:val="en-US"/>
        </w:rPr>
        <w:t xml:space="preserve">Bate, Jonathan. </w:t>
      </w:r>
      <w:r>
        <w:rPr>
          <w:i/>
          <w:iCs/>
          <w:lang w:val="en-US"/>
        </w:rPr>
        <w:t xml:space="preserve">Song of the Earth. </w:t>
      </w:r>
      <w:r>
        <w:rPr>
          <w:lang w:val="en-US"/>
        </w:rPr>
        <w:t>London: Pan Macmillan, 2000.</w:t>
      </w:r>
      <w:r>
        <w:rPr>
          <w:i/>
          <w:iCs/>
          <w:lang w:val="en-US"/>
        </w:rPr>
        <w:t xml:space="preserve"> </w:t>
      </w:r>
    </w:p>
    <w:p w14:paraId="315D64FB" w14:textId="77777777" w:rsidR="00AC20C5" w:rsidRPr="00973786" w:rsidRDefault="00AC20C5" w:rsidP="00AC20C5">
      <w:pPr>
        <w:spacing w:after="0" w:line="240" w:lineRule="auto"/>
        <w:rPr>
          <w:i/>
          <w:iCs/>
          <w:lang w:val="en-US"/>
        </w:rPr>
      </w:pPr>
    </w:p>
    <w:p w14:paraId="741F4BBA" w14:textId="73087D16" w:rsidR="00825344" w:rsidRDefault="00825344" w:rsidP="00AC20C5">
      <w:pPr>
        <w:spacing w:after="0" w:line="240" w:lineRule="auto"/>
        <w:rPr>
          <w:lang w:val="en-US"/>
        </w:rPr>
      </w:pPr>
      <w:r>
        <w:rPr>
          <w:lang w:val="en-US"/>
        </w:rPr>
        <w:t>Bennett, Andrew</w:t>
      </w:r>
      <w:r>
        <w:rPr>
          <w:lang w:val="en-US"/>
        </w:rPr>
        <w:t>.</w:t>
      </w:r>
      <w:r>
        <w:rPr>
          <w:lang w:val="en-US"/>
        </w:rPr>
        <w:t xml:space="preserve"> ‘Agrarian Politics and the Economics of Writing: Keats’s ‘To Autumn’, </w:t>
      </w:r>
      <w:r>
        <w:rPr>
          <w:i/>
          <w:iCs/>
          <w:lang w:val="en-US"/>
        </w:rPr>
        <w:t xml:space="preserve">Criticism </w:t>
      </w:r>
      <w:r>
        <w:rPr>
          <w:lang w:val="en-US"/>
        </w:rPr>
        <w:t>(Summer 1991): 333-52.</w:t>
      </w:r>
    </w:p>
    <w:p w14:paraId="48BC134E" w14:textId="77777777" w:rsidR="00AC20C5" w:rsidRDefault="00AC20C5" w:rsidP="00AC20C5">
      <w:pPr>
        <w:spacing w:after="0" w:line="240" w:lineRule="auto"/>
      </w:pPr>
    </w:p>
    <w:p w14:paraId="745FF961" w14:textId="66F7BA89" w:rsidR="00973786" w:rsidRDefault="00973786" w:rsidP="00AC20C5">
      <w:pPr>
        <w:spacing w:after="0" w:line="240" w:lineRule="auto"/>
        <w:rPr>
          <w:lang w:val="en-US"/>
        </w:rPr>
      </w:pPr>
      <w:r>
        <w:t xml:space="preserve">Cronin, Richard. ‘Politics’ </w:t>
      </w:r>
      <w:r w:rsidRPr="0011707B">
        <w:t>in</w:t>
      </w:r>
      <w:r>
        <w:t xml:space="preserve"> </w:t>
      </w:r>
      <w:r>
        <w:rPr>
          <w:i/>
          <w:iCs/>
          <w:lang w:val="en-US"/>
        </w:rPr>
        <w:t xml:space="preserve">John Keats in Context, </w:t>
      </w:r>
      <w:r>
        <w:rPr>
          <w:lang w:val="en-US"/>
        </w:rPr>
        <w:t xml:space="preserve">ed. Michael O’Neill. </w:t>
      </w:r>
      <w:r w:rsidRPr="0011707B">
        <w:t>Cambridge: Cambridge University Press, 201</w:t>
      </w:r>
      <w:r>
        <w:t>8</w:t>
      </w:r>
      <w:r w:rsidRPr="0011707B">
        <w:t>, 108-116.</w:t>
      </w:r>
    </w:p>
    <w:p w14:paraId="37FDF61C" w14:textId="77777777" w:rsidR="00AC20C5" w:rsidRDefault="00AC20C5" w:rsidP="00AC20C5">
      <w:pPr>
        <w:spacing w:after="0" w:line="240" w:lineRule="auto"/>
        <w:rPr>
          <w:lang w:val="en-US"/>
        </w:rPr>
      </w:pPr>
    </w:p>
    <w:p w14:paraId="4602056F" w14:textId="723D62A3" w:rsidR="00973786" w:rsidRDefault="00973786" w:rsidP="00AC20C5">
      <w:pPr>
        <w:spacing w:after="0" w:line="240" w:lineRule="auto"/>
        <w:rPr>
          <w:lang w:val="en-US"/>
        </w:rPr>
      </w:pPr>
      <w:r>
        <w:rPr>
          <w:lang w:val="en-US"/>
        </w:rPr>
        <w:t xml:space="preserve">Jack, Ian. </w:t>
      </w:r>
      <w:r>
        <w:rPr>
          <w:i/>
          <w:iCs/>
          <w:lang w:val="en-US"/>
        </w:rPr>
        <w:t xml:space="preserve">Keats and the Mirror of Art. </w:t>
      </w:r>
      <w:r>
        <w:rPr>
          <w:lang w:val="en-US"/>
        </w:rPr>
        <w:t>Oxford: Clarendon Press, 1967. [Keats and painting]</w:t>
      </w:r>
    </w:p>
    <w:p w14:paraId="760DD224" w14:textId="77777777" w:rsidR="00AC20C5" w:rsidRDefault="00AC20C5" w:rsidP="00AC20C5">
      <w:pPr>
        <w:spacing w:after="0" w:line="240" w:lineRule="auto"/>
        <w:rPr>
          <w:lang w:val="en-US"/>
        </w:rPr>
      </w:pPr>
    </w:p>
    <w:p w14:paraId="046A43AF" w14:textId="24D7636B" w:rsidR="00825344" w:rsidRDefault="00825344" w:rsidP="00AC20C5">
      <w:pPr>
        <w:spacing w:after="0" w:line="240" w:lineRule="auto"/>
        <w:rPr>
          <w:lang w:val="en-US"/>
        </w:rPr>
      </w:pPr>
      <w:r>
        <w:rPr>
          <w:lang w:val="en-US"/>
        </w:rPr>
        <w:t>Roe, Nicholas</w:t>
      </w:r>
      <w:r>
        <w:rPr>
          <w:lang w:val="en-US"/>
        </w:rPr>
        <w:t>.</w:t>
      </w:r>
      <w:r>
        <w:rPr>
          <w:lang w:val="en-US"/>
        </w:rPr>
        <w:t xml:space="preserve"> </w:t>
      </w:r>
      <w:r>
        <w:rPr>
          <w:i/>
          <w:iCs/>
          <w:lang w:val="en-US"/>
        </w:rPr>
        <w:t xml:space="preserve">John Keats and the Culture of Dissent. </w:t>
      </w:r>
      <w:r w:rsidR="00973786">
        <w:rPr>
          <w:lang w:val="en-US"/>
        </w:rPr>
        <w:t xml:space="preserve">1997. </w:t>
      </w:r>
      <w:r>
        <w:rPr>
          <w:lang w:val="en-US"/>
        </w:rPr>
        <w:t>Epilogue: ‘John Keats’s Commonwealth: The 1820 Collection and “To Autumn”’, pp.230-267.</w:t>
      </w:r>
    </w:p>
    <w:p w14:paraId="3B7213E4" w14:textId="77777777" w:rsidR="00AC20C5" w:rsidRDefault="00AC20C5" w:rsidP="00AC20C5">
      <w:pPr>
        <w:spacing w:after="0" w:line="240" w:lineRule="auto"/>
        <w:rPr>
          <w:lang w:val="en-US"/>
        </w:rPr>
      </w:pPr>
    </w:p>
    <w:p w14:paraId="6FA90957" w14:textId="0B4399DB" w:rsidR="00825344" w:rsidRPr="00DD37C7" w:rsidRDefault="00825344" w:rsidP="00AC20C5">
      <w:pPr>
        <w:spacing w:after="0" w:line="240" w:lineRule="auto"/>
        <w:rPr>
          <w:lang w:val="en-US"/>
        </w:rPr>
      </w:pPr>
      <w:r>
        <w:rPr>
          <w:lang w:val="en-US"/>
        </w:rPr>
        <w:t>Roe, Nicholas</w:t>
      </w:r>
      <w:r>
        <w:rPr>
          <w:lang w:val="en-US"/>
        </w:rPr>
        <w:t xml:space="preserve">. </w:t>
      </w:r>
      <w:r>
        <w:rPr>
          <w:i/>
          <w:iCs/>
          <w:lang w:val="en-US"/>
        </w:rPr>
        <w:t xml:space="preserve">John Keats. </w:t>
      </w:r>
      <w:r>
        <w:rPr>
          <w:lang w:val="en-US"/>
        </w:rPr>
        <w:t xml:space="preserve">Yale University Press, 2012. </w:t>
      </w:r>
    </w:p>
    <w:p w14:paraId="06CCB7E9" w14:textId="77777777" w:rsidR="00AC20C5" w:rsidRDefault="00AC20C5" w:rsidP="00AC20C5">
      <w:pPr>
        <w:spacing w:after="0" w:line="240" w:lineRule="auto"/>
        <w:rPr>
          <w:lang w:val="en-US"/>
        </w:rPr>
      </w:pPr>
    </w:p>
    <w:p w14:paraId="7E68778C" w14:textId="76B81525" w:rsidR="00825344" w:rsidRDefault="00825344" w:rsidP="00AC20C5">
      <w:pPr>
        <w:spacing w:after="0" w:line="240" w:lineRule="auto"/>
        <w:rPr>
          <w:lang w:val="en-US"/>
        </w:rPr>
      </w:pPr>
      <w:r>
        <w:rPr>
          <w:lang w:val="en-US"/>
        </w:rPr>
        <w:t xml:space="preserve">Motion, </w:t>
      </w:r>
      <w:r w:rsidR="00973786">
        <w:rPr>
          <w:lang w:val="en-US"/>
        </w:rPr>
        <w:t>Andrew</w:t>
      </w:r>
      <w:r w:rsidR="00973786">
        <w:rPr>
          <w:lang w:val="en-US"/>
        </w:rPr>
        <w:t>.</w:t>
      </w:r>
      <w:r w:rsidR="00973786">
        <w:rPr>
          <w:lang w:val="en-US"/>
        </w:rPr>
        <w:t xml:space="preserve"> </w:t>
      </w:r>
      <w:r>
        <w:rPr>
          <w:i/>
          <w:iCs/>
          <w:lang w:val="en-US"/>
        </w:rPr>
        <w:t xml:space="preserve">Keats. </w:t>
      </w:r>
      <w:r>
        <w:rPr>
          <w:lang w:val="en-US"/>
        </w:rPr>
        <w:t>London: Faber &amp; Faber, 1997.</w:t>
      </w:r>
    </w:p>
    <w:p w14:paraId="75293654" w14:textId="77777777" w:rsidR="00AC20C5" w:rsidRDefault="00AC20C5" w:rsidP="00AC20C5">
      <w:pPr>
        <w:spacing w:after="0" w:line="240" w:lineRule="auto"/>
        <w:rPr>
          <w:lang w:val="en-US"/>
        </w:rPr>
      </w:pPr>
    </w:p>
    <w:p w14:paraId="08BF353E" w14:textId="7B793D15" w:rsidR="00825344" w:rsidRDefault="00825344" w:rsidP="00AC20C5">
      <w:pPr>
        <w:spacing w:after="0" w:line="240" w:lineRule="auto"/>
        <w:rPr>
          <w:lang w:val="en-US"/>
        </w:rPr>
      </w:pPr>
      <w:r>
        <w:rPr>
          <w:lang w:val="en-US"/>
        </w:rPr>
        <w:t xml:space="preserve">Keach, </w:t>
      </w:r>
      <w:r w:rsidR="00973786">
        <w:rPr>
          <w:lang w:val="en-US"/>
        </w:rPr>
        <w:t>William</w:t>
      </w:r>
      <w:r w:rsidR="00973786">
        <w:rPr>
          <w:lang w:val="en-US"/>
        </w:rPr>
        <w:t>.</w:t>
      </w:r>
      <w:r w:rsidR="00973786">
        <w:rPr>
          <w:lang w:val="en-US"/>
        </w:rPr>
        <w:t xml:space="preserve"> </w:t>
      </w:r>
      <w:r>
        <w:rPr>
          <w:lang w:val="en-US"/>
        </w:rPr>
        <w:t xml:space="preserve">‘Cockney Couplets: Keats and the Politics of Style’ in </w:t>
      </w:r>
      <w:r>
        <w:rPr>
          <w:i/>
          <w:iCs/>
          <w:lang w:val="en-US"/>
        </w:rPr>
        <w:t xml:space="preserve">Studies in Romanticism. </w:t>
      </w:r>
      <w:r>
        <w:rPr>
          <w:lang w:val="en-US"/>
        </w:rPr>
        <w:t xml:space="preserve">1986: 182-196. </w:t>
      </w:r>
    </w:p>
    <w:p w14:paraId="707070F0" w14:textId="77777777" w:rsidR="00AC20C5" w:rsidRDefault="00AC20C5" w:rsidP="00AC20C5">
      <w:pPr>
        <w:spacing w:after="0" w:line="240" w:lineRule="auto"/>
        <w:rPr>
          <w:lang w:val="en-US"/>
        </w:rPr>
      </w:pPr>
    </w:p>
    <w:p w14:paraId="614530A9" w14:textId="49161D57" w:rsidR="00973786" w:rsidRDefault="00973786" w:rsidP="00AC20C5">
      <w:pPr>
        <w:spacing w:after="0" w:line="240" w:lineRule="auto"/>
        <w:rPr>
          <w:lang w:val="en-US"/>
        </w:rPr>
      </w:pPr>
      <w:r>
        <w:rPr>
          <w:lang w:val="en-US"/>
        </w:rPr>
        <w:t xml:space="preserve">McGann, Jerome. ‘Keats and the Historical Method in Literary Criticism’, </w:t>
      </w:r>
      <w:r>
        <w:rPr>
          <w:i/>
          <w:iCs/>
          <w:lang w:val="en-US"/>
        </w:rPr>
        <w:t xml:space="preserve">Modern Language Notes, </w:t>
      </w:r>
      <w:r>
        <w:rPr>
          <w:lang w:val="en-US"/>
        </w:rPr>
        <w:t>94 (1979)</w:t>
      </w:r>
    </w:p>
    <w:p w14:paraId="19B8ADF9" w14:textId="77777777" w:rsidR="00AC20C5" w:rsidRDefault="00AC20C5" w:rsidP="00AC20C5">
      <w:pPr>
        <w:spacing w:after="0" w:line="240" w:lineRule="auto"/>
        <w:rPr>
          <w:lang w:val="en-US"/>
        </w:rPr>
      </w:pPr>
    </w:p>
    <w:p w14:paraId="3668A22E" w14:textId="24A99B54" w:rsidR="00973786" w:rsidRPr="00B73CD4" w:rsidRDefault="00973786" w:rsidP="00AC20C5">
      <w:pPr>
        <w:spacing w:after="0" w:line="240" w:lineRule="auto"/>
        <w:rPr>
          <w:lang w:val="en-US"/>
        </w:rPr>
      </w:pPr>
      <w:r>
        <w:rPr>
          <w:lang w:val="en-US"/>
        </w:rPr>
        <w:t xml:space="preserve">McGann, Jerome. </w:t>
      </w:r>
      <w:r>
        <w:rPr>
          <w:i/>
          <w:iCs/>
          <w:lang w:val="en-US"/>
        </w:rPr>
        <w:t xml:space="preserve">The Romantic Ideology: A Critical Investigation. </w:t>
      </w:r>
      <w:r>
        <w:rPr>
          <w:lang w:val="en-US"/>
        </w:rPr>
        <w:t xml:space="preserve">1983. </w:t>
      </w:r>
      <w:r>
        <w:rPr>
          <w:i/>
          <w:iCs/>
          <w:lang w:val="en-US"/>
        </w:rPr>
        <w:t xml:space="preserve"> </w:t>
      </w:r>
    </w:p>
    <w:p w14:paraId="093E03B1" w14:textId="77777777" w:rsidR="00AC20C5" w:rsidRDefault="00AC20C5" w:rsidP="00AC20C5">
      <w:pPr>
        <w:spacing w:after="0" w:line="240" w:lineRule="auto"/>
        <w:rPr>
          <w:lang w:val="en-US"/>
        </w:rPr>
      </w:pPr>
    </w:p>
    <w:p w14:paraId="2A6A36E9" w14:textId="5CF6F5BC" w:rsidR="00825344" w:rsidRPr="00973786" w:rsidRDefault="00825344" w:rsidP="00AC20C5">
      <w:pPr>
        <w:spacing w:after="0" w:line="240" w:lineRule="auto"/>
        <w:rPr>
          <w:lang w:val="en-US"/>
        </w:rPr>
      </w:pPr>
      <w:r>
        <w:rPr>
          <w:lang w:val="en-US"/>
        </w:rPr>
        <w:t>Miller</w:t>
      </w:r>
      <w:r w:rsidR="00973786">
        <w:rPr>
          <w:lang w:val="en-US"/>
        </w:rPr>
        <w:t>,</w:t>
      </w:r>
      <w:r>
        <w:rPr>
          <w:lang w:val="en-US"/>
        </w:rPr>
        <w:t xml:space="preserve"> </w:t>
      </w:r>
      <w:r w:rsidR="00973786">
        <w:rPr>
          <w:lang w:val="en-US"/>
        </w:rPr>
        <w:t>Christopher</w:t>
      </w:r>
      <w:r w:rsidR="00973786">
        <w:rPr>
          <w:lang w:val="en-US"/>
        </w:rPr>
        <w:t>. ‘Lyrical Genres’</w:t>
      </w:r>
      <w:r w:rsidR="00973786">
        <w:rPr>
          <w:lang w:val="en-US"/>
        </w:rPr>
        <w:t xml:space="preserve"> </w:t>
      </w:r>
      <w:r>
        <w:rPr>
          <w:lang w:val="en-US"/>
        </w:rPr>
        <w:t xml:space="preserve">in </w:t>
      </w:r>
      <w:r w:rsidR="00973786">
        <w:rPr>
          <w:i/>
          <w:iCs/>
          <w:lang w:val="en-US"/>
        </w:rPr>
        <w:t xml:space="preserve">John </w:t>
      </w:r>
      <w:r>
        <w:rPr>
          <w:i/>
          <w:iCs/>
          <w:lang w:val="en-US"/>
        </w:rPr>
        <w:t>Keats in Context</w:t>
      </w:r>
      <w:r w:rsidR="00973786">
        <w:rPr>
          <w:i/>
          <w:iCs/>
          <w:lang w:val="en-US"/>
        </w:rPr>
        <w:t xml:space="preserve">, </w:t>
      </w:r>
      <w:r w:rsidR="00973786">
        <w:rPr>
          <w:lang w:val="en-US"/>
        </w:rPr>
        <w:t xml:space="preserve">ed. Michael O’Neill. </w:t>
      </w:r>
      <w:r w:rsidR="00973786" w:rsidRPr="0011707B">
        <w:t>Cambridge: Cambridge University Press, 2018,</w:t>
      </w:r>
      <w:r w:rsidR="00973786">
        <w:t xml:space="preserve"> 269-277.</w:t>
      </w:r>
    </w:p>
    <w:p w14:paraId="1442F763" w14:textId="77777777" w:rsidR="00AC20C5" w:rsidRDefault="00AC20C5" w:rsidP="00AC20C5">
      <w:pPr>
        <w:spacing w:after="0" w:line="240" w:lineRule="auto"/>
        <w:rPr>
          <w:lang w:val="en-US"/>
        </w:rPr>
      </w:pPr>
    </w:p>
    <w:p w14:paraId="47C942A4" w14:textId="2B206156" w:rsidR="00825344" w:rsidRDefault="00825344" w:rsidP="00AC20C5">
      <w:pPr>
        <w:spacing w:after="0" w:line="240" w:lineRule="auto"/>
        <w:rPr>
          <w:lang w:val="en-US"/>
        </w:rPr>
      </w:pPr>
      <w:r>
        <w:rPr>
          <w:lang w:val="en-US"/>
        </w:rPr>
        <w:t xml:space="preserve">Sheats, </w:t>
      </w:r>
      <w:r w:rsidR="00973786">
        <w:rPr>
          <w:lang w:val="en-US"/>
        </w:rPr>
        <w:t>Paul</w:t>
      </w:r>
      <w:r w:rsidR="00973786">
        <w:rPr>
          <w:lang w:val="en-US"/>
        </w:rPr>
        <w:t>.</w:t>
      </w:r>
      <w:r w:rsidR="00973786">
        <w:rPr>
          <w:lang w:val="en-US"/>
        </w:rPr>
        <w:t xml:space="preserve"> </w:t>
      </w:r>
      <w:r>
        <w:rPr>
          <w:lang w:val="en-US"/>
        </w:rPr>
        <w:t xml:space="preserve">‘Keats and the ode’ in </w:t>
      </w:r>
      <w:r>
        <w:rPr>
          <w:i/>
          <w:iCs/>
          <w:lang w:val="en-US"/>
        </w:rPr>
        <w:t xml:space="preserve">The Cambridge Companion to Keats, </w:t>
      </w:r>
      <w:r>
        <w:rPr>
          <w:lang w:val="en-US"/>
        </w:rPr>
        <w:t xml:space="preserve">ed. Susan Wolfson. Cambridge University Press, 2001: 86-101. </w:t>
      </w:r>
    </w:p>
    <w:p w14:paraId="2DD0844D" w14:textId="77777777" w:rsidR="00AC20C5" w:rsidRDefault="00AC20C5" w:rsidP="00AC20C5">
      <w:pPr>
        <w:spacing w:after="0" w:line="240" w:lineRule="auto"/>
        <w:rPr>
          <w:lang w:val="en-US"/>
        </w:rPr>
      </w:pPr>
    </w:p>
    <w:p w14:paraId="431AE0F7" w14:textId="68194DF4" w:rsidR="00AC20C5" w:rsidRPr="00AC20C5" w:rsidRDefault="00AC20C5" w:rsidP="00AC20C5">
      <w:pPr>
        <w:spacing w:after="0" w:line="240" w:lineRule="auto"/>
        <w:rPr>
          <w:lang w:val="en-US"/>
        </w:rPr>
      </w:pPr>
      <w:r>
        <w:rPr>
          <w:lang w:val="en-US"/>
        </w:rPr>
        <w:t xml:space="preserve">Turley, Richard Marggraf, Jayne Elizabeth Archer and Howard Thomas, ‘Keats, “To Autumn”, and the New Men of Winchester’, in </w:t>
      </w:r>
      <w:r>
        <w:rPr>
          <w:i/>
          <w:iCs/>
          <w:lang w:val="en-US"/>
        </w:rPr>
        <w:t xml:space="preserve">The Review of English Studies, </w:t>
      </w:r>
      <w:r>
        <w:rPr>
          <w:lang w:val="en-US"/>
        </w:rPr>
        <w:t>63.262 (Nov 2012): 797-817.</w:t>
      </w:r>
    </w:p>
    <w:p w14:paraId="7422A38E" w14:textId="77777777" w:rsidR="00AC20C5" w:rsidRDefault="00AC20C5" w:rsidP="00AC20C5">
      <w:pPr>
        <w:spacing w:after="0" w:line="240" w:lineRule="auto"/>
        <w:rPr>
          <w:lang w:val="en-US"/>
        </w:rPr>
      </w:pPr>
    </w:p>
    <w:p w14:paraId="148FE1D9" w14:textId="33703EB6" w:rsidR="00825344" w:rsidRDefault="00825344" w:rsidP="00AC20C5">
      <w:pPr>
        <w:spacing w:after="0" w:line="240" w:lineRule="auto"/>
        <w:rPr>
          <w:lang w:val="en-US"/>
        </w:rPr>
      </w:pPr>
      <w:r>
        <w:rPr>
          <w:lang w:val="en-US"/>
        </w:rPr>
        <w:t xml:space="preserve">Turley, </w:t>
      </w:r>
      <w:r w:rsidR="00973786">
        <w:rPr>
          <w:lang w:val="en-US"/>
        </w:rPr>
        <w:t>Richard Marggra</w:t>
      </w:r>
      <w:r w:rsidR="00973786">
        <w:rPr>
          <w:lang w:val="en-US"/>
        </w:rPr>
        <w:t xml:space="preserve">f. </w:t>
      </w:r>
      <w:r>
        <w:rPr>
          <w:lang w:val="en-US"/>
        </w:rPr>
        <w:t xml:space="preserve">‘“Full-grown lambs”: Immaturity and “To Autumn”’ in </w:t>
      </w:r>
      <w:r>
        <w:rPr>
          <w:i/>
          <w:iCs/>
          <w:lang w:val="en-US"/>
        </w:rPr>
        <w:t xml:space="preserve">Romanticism on the Net, </w:t>
      </w:r>
      <w:r>
        <w:rPr>
          <w:lang w:val="en-US"/>
        </w:rPr>
        <w:t xml:space="preserve">10 </w:t>
      </w:r>
      <w:proofErr w:type="gramStart"/>
      <w:r>
        <w:rPr>
          <w:lang w:val="en-US"/>
        </w:rPr>
        <w:t>Nov,</w:t>
      </w:r>
      <w:proofErr w:type="gramEnd"/>
      <w:r>
        <w:rPr>
          <w:lang w:val="en-US"/>
        </w:rPr>
        <w:t xml:space="preserve"> 2003. On-line.</w:t>
      </w:r>
    </w:p>
    <w:p w14:paraId="1AF826A4" w14:textId="77777777" w:rsidR="00AC20C5" w:rsidRDefault="00AC20C5" w:rsidP="00AC20C5">
      <w:pPr>
        <w:spacing w:after="0" w:line="240" w:lineRule="auto"/>
        <w:rPr>
          <w:lang w:val="en-US"/>
        </w:rPr>
      </w:pPr>
    </w:p>
    <w:p w14:paraId="3B62ADAC" w14:textId="07EC9AB8" w:rsidR="00973786" w:rsidRDefault="00973786" w:rsidP="00AC20C5">
      <w:pPr>
        <w:spacing w:after="0" w:line="240" w:lineRule="auto"/>
        <w:rPr>
          <w:lang w:val="en-US"/>
        </w:rPr>
      </w:pPr>
      <w:r>
        <w:rPr>
          <w:lang w:val="en-US"/>
        </w:rPr>
        <w:t xml:space="preserve">Vendler, Helen. </w:t>
      </w:r>
      <w:r>
        <w:rPr>
          <w:i/>
          <w:iCs/>
          <w:lang w:val="en-US"/>
        </w:rPr>
        <w:t xml:space="preserve">The Odes of John Keats. </w:t>
      </w:r>
      <w:r>
        <w:rPr>
          <w:lang w:val="en-US"/>
        </w:rPr>
        <w:t>Harvard University Press, 1983.</w:t>
      </w:r>
    </w:p>
    <w:p w14:paraId="118BB1A1" w14:textId="77777777" w:rsidR="00825344" w:rsidRDefault="00825344" w:rsidP="00AC20C5">
      <w:pPr>
        <w:spacing w:after="0" w:line="240" w:lineRule="auto"/>
        <w:rPr>
          <w:lang w:val="en-US"/>
        </w:rPr>
      </w:pPr>
    </w:p>
    <w:p w14:paraId="615586EF" w14:textId="29265A8A" w:rsidR="00B601AC" w:rsidRDefault="00B601AC" w:rsidP="00AC20C5">
      <w:pPr>
        <w:spacing w:after="0" w:line="240" w:lineRule="auto"/>
      </w:pPr>
    </w:p>
    <w:sectPr w:rsidR="00B60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70AE2"/>
    <w:multiLevelType w:val="hybridMultilevel"/>
    <w:tmpl w:val="6200370C"/>
    <w:lvl w:ilvl="0" w:tplc="7388B384">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AC"/>
    <w:rsid w:val="0011707B"/>
    <w:rsid w:val="001C1CCB"/>
    <w:rsid w:val="001E7F9E"/>
    <w:rsid w:val="00275B90"/>
    <w:rsid w:val="003668F5"/>
    <w:rsid w:val="003A4F15"/>
    <w:rsid w:val="003E0BF9"/>
    <w:rsid w:val="0041198A"/>
    <w:rsid w:val="004607E6"/>
    <w:rsid w:val="00604611"/>
    <w:rsid w:val="0065222C"/>
    <w:rsid w:val="006B4753"/>
    <w:rsid w:val="00825344"/>
    <w:rsid w:val="00973786"/>
    <w:rsid w:val="009E757F"/>
    <w:rsid w:val="00AA4439"/>
    <w:rsid w:val="00AC20C5"/>
    <w:rsid w:val="00B601AC"/>
    <w:rsid w:val="00BB44E9"/>
    <w:rsid w:val="00C5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39EA"/>
  <w15:chartTrackingRefBased/>
  <w15:docId w15:val="{064639CF-30DD-4F7B-88EE-A28A9ED3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570376">
      <w:bodyDiv w:val="1"/>
      <w:marLeft w:val="0"/>
      <w:marRight w:val="0"/>
      <w:marTop w:val="0"/>
      <w:marBottom w:val="0"/>
      <w:divBdr>
        <w:top w:val="none" w:sz="0" w:space="0" w:color="auto"/>
        <w:left w:val="none" w:sz="0" w:space="0" w:color="auto"/>
        <w:bottom w:val="none" w:sz="0" w:space="0" w:color="auto"/>
        <w:right w:val="none" w:sz="0" w:space="0" w:color="auto"/>
      </w:divBdr>
    </w:div>
    <w:div w:id="616722559">
      <w:bodyDiv w:val="1"/>
      <w:marLeft w:val="0"/>
      <w:marRight w:val="0"/>
      <w:marTop w:val="0"/>
      <w:marBottom w:val="0"/>
      <w:divBdr>
        <w:top w:val="none" w:sz="0" w:space="0" w:color="auto"/>
        <w:left w:val="none" w:sz="0" w:space="0" w:color="auto"/>
        <w:bottom w:val="none" w:sz="0" w:space="0" w:color="auto"/>
        <w:right w:val="none" w:sz="0" w:space="0" w:color="auto"/>
      </w:divBdr>
    </w:div>
    <w:div w:id="707879175">
      <w:bodyDiv w:val="1"/>
      <w:marLeft w:val="0"/>
      <w:marRight w:val="0"/>
      <w:marTop w:val="0"/>
      <w:marBottom w:val="0"/>
      <w:divBdr>
        <w:top w:val="none" w:sz="0" w:space="0" w:color="auto"/>
        <w:left w:val="none" w:sz="0" w:space="0" w:color="auto"/>
        <w:bottom w:val="none" w:sz="0" w:space="0" w:color="auto"/>
        <w:right w:val="none" w:sz="0" w:space="0" w:color="auto"/>
      </w:divBdr>
    </w:div>
    <w:div w:id="914506945">
      <w:bodyDiv w:val="1"/>
      <w:marLeft w:val="0"/>
      <w:marRight w:val="0"/>
      <w:marTop w:val="0"/>
      <w:marBottom w:val="0"/>
      <w:divBdr>
        <w:top w:val="none" w:sz="0" w:space="0" w:color="auto"/>
        <w:left w:val="none" w:sz="0" w:space="0" w:color="auto"/>
        <w:bottom w:val="none" w:sz="0" w:space="0" w:color="auto"/>
        <w:right w:val="none" w:sz="0" w:space="0" w:color="auto"/>
      </w:divBdr>
    </w:div>
    <w:div w:id="1078358616">
      <w:bodyDiv w:val="1"/>
      <w:marLeft w:val="0"/>
      <w:marRight w:val="0"/>
      <w:marTop w:val="0"/>
      <w:marBottom w:val="0"/>
      <w:divBdr>
        <w:top w:val="none" w:sz="0" w:space="0" w:color="auto"/>
        <w:left w:val="none" w:sz="0" w:space="0" w:color="auto"/>
        <w:bottom w:val="none" w:sz="0" w:space="0" w:color="auto"/>
        <w:right w:val="none" w:sz="0" w:space="0" w:color="auto"/>
      </w:divBdr>
    </w:div>
    <w:div w:id="1085029463">
      <w:bodyDiv w:val="1"/>
      <w:marLeft w:val="0"/>
      <w:marRight w:val="0"/>
      <w:marTop w:val="0"/>
      <w:marBottom w:val="0"/>
      <w:divBdr>
        <w:top w:val="none" w:sz="0" w:space="0" w:color="auto"/>
        <w:left w:val="none" w:sz="0" w:space="0" w:color="auto"/>
        <w:bottom w:val="none" w:sz="0" w:space="0" w:color="auto"/>
        <w:right w:val="none" w:sz="0" w:space="0" w:color="auto"/>
      </w:divBdr>
    </w:div>
    <w:div w:id="1409380697">
      <w:bodyDiv w:val="1"/>
      <w:marLeft w:val="0"/>
      <w:marRight w:val="0"/>
      <w:marTop w:val="0"/>
      <w:marBottom w:val="0"/>
      <w:divBdr>
        <w:top w:val="none" w:sz="0" w:space="0" w:color="auto"/>
        <w:left w:val="none" w:sz="0" w:space="0" w:color="auto"/>
        <w:bottom w:val="none" w:sz="0" w:space="0" w:color="auto"/>
        <w:right w:val="none" w:sz="0" w:space="0" w:color="auto"/>
      </w:divBdr>
    </w:div>
    <w:div w:id="16856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Moyra Haslett</dc:creator>
  <cp:keywords/>
  <dc:description/>
  <cp:lastModifiedBy>Moyra Haslett</cp:lastModifiedBy>
  <cp:revision>3</cp:revision>
  <dcterms:created xsi:type="dcterms:W3CDTF">2021-03-06T13:47:00Z</dcterms:created>
  <dcterms:modified xsi:type="dcterms:W3CDTF">2021-03-12T13:03:00Z</dcterms:modified>
</cp:coreProperties>
</file>