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rsidTr="00B908DF">
        <w:tc>
          <w:tcPr>
            <w:tcW w:w="1848" w:type="dxa"/>
          </w:tcPr>
          <w:p w:rsidR="006D4CEA" w:rsidRPr="00BB5EFB" w:rsidRDefault="006D4CEA" w:rsidP="00B908DF">
            <w:pPr>
              <w:jc w:val="center"/>
              <w:rPr>
                <w:rFonts w:cstheme="minorHAnsi"/>
              </w:rPr>
            </w:pPr>
          </w:p>
        </w:tc>
        <w:tc>
          <w:tcPr>
            <w:tcW w:w="1521" w:type="dxa"/>
          </w:tcPr>
          <w:p w:rsidR="006D4CEA" w:rsidRPr="00BB5EFB" w:rsidRDefault="006D4CEA" w:rsidP="00B908DF">
            <w:pPr>
              <w:jc w:val="center"/>
              <w:rPr>
                <w:rFonts w:cstheme="minorHAnsi"/>
                <w:b/>
              </w:rPr>
            </w:pPr>
            <w:r w:rsidRPr="00BB5EFB">
              <w:rPr>
                <w:rFonts w:cstheme="minorHAnsi"/>
                <w:b/>
              </w:rPr>
              <w:t>CATEGORY 1</w:t>
            </w:r>
          </w:p>
          <w:p w:rsidR="006D4CEA" w:rsidRPr="00BB5EFB" w:rsidRDefault="006D4CEA" w:rsidP="00B908DF">
            <w:pPr>
              <w:jc w:val="center"/>
              <w:rPr>
                <w:rFonts w:cstheme="minorHAnsi"/>
                <w:b/>
              </w:rPr>
            </w:pPr>
            <w:r w:rsidRPr="00BB5EFB">
              <w:rPr>
                <w:rFonts w:cstheme="minorHAnsi"/>
                <w:b/>
              </w:rPr>
              <w:t>Pilot</w:t>
            </w:r>
          </w:p>
        </w:tc>
        <w:tc>
          <w:tcPr>
            <w:tcW w:w="2268" w:type="dxa"/>
          </w:tcPr>
          <w:p w:rsidR="006D4CEA" w:rsidRPr="00BB5EFB" w:rsidRDefault="006D4CEA" w:rsidP="00B908DF">
            <w:pPr>
              <w:jc w:val="center"/>
              <w:rPr>
                <w:rFonts w:cstheme="minorHAnsi"/>
                <w:b/>
              </w:rPr>
            </w:pPr>
            <w:r w:rsidRPr="00BB5EFB">
              <w:rPr>
                <w:rFonts w:cstheme="minorHAnsi"/>
                <w:b/>
              </w:rPr>
              <w:t>CATEGORY 2</w:t>
            </w:r>
          </w:p>
          <w:p w:rsidR="006D4CEA" w:rsidRPr="00BB5EFB" w:rsidRDefault="006D4CEA" w:rsidP="00B908DF">
            <w:pPr>
              <w:jc w:val="center"/>
              <w:rPr>
                <w:rFonts w:cstheme="minorHAnsi"/>
                <w:b/>
              </w:rPr>
            </w:pPr>
            <w:r w:rsidRPr="00BB5EFB">
              <w:rPr>
                <w:rFonts w:cstheme="minorHAnsi"/>
                <w:b/>
              </w:rPr>
              <w:t>Capability /Capacity Research</w:t>
            </w:r>
          </w:p>
        </w:tc>
        <w:tc>
          <w:tcPr>
            <w:tcW w:w="1842" w:type="dxa"/>
          </w:tcPr>
          <w:p w:rsidR="006D4CEA" w:rsidRPr="00BB5EFB" w:rsidRDefault="006D4CEA" w:rsidP="00B908DF">
            <w:pPr>
              <w:jc w:val="center"/>
              <w:rPr>
                <w:rFonts w:cstheme="minorHAnsi"/>
                <w:b/>
              </w:rPr>
            </w:pPr>
            <w:r w:rsidRPr="00BB5EFB">
              <w:rPr>
                <w:rFonts w:cstheme="minorHAnsi"/>
                <w:b/>
              </w:rPr>
              <w:t>CATEGORY 3</w:t>
            </w:r>
          </w:p>
          <w:p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rsidR="006D4CEA" w:rsidRPr="00BB5EFB" w:rsidRDefault="006D4CEA" w:rsidP="00B908DF">
            <w:pPr>
              <w:jc w:val="center"/>
              <w:rPr>
                <w:rFonts w:cstheme="minorHAnsi"/>
                <w:b/>
              </w:rPr>
            </w:pPr>
            <w:r w:rsidRPr="00BB5EFB">
              <w:rPr>
                <w:rFonts w:cstheme="minorHAnsi"/>
                <w:b/>
              </w:rPr>
              <w:t>CATEGORY 4</w:t>
            </w:r>
          </w:p>
          <w:p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Study Set-up Fee</w:t>
            </w:r>
          </w:p>
        </w:tc>
        <w:tc>
          <w:tcPr>
            <w:tcW w:w="1521" w:type="dxa"/>
          </w:tcPr>
          <w:p w:rsidR="006D4CEA" w:rsidRPr="00BB5EFB" w:rsidRDefault="006D4CEA" w:rsidP="00B908DF">
            <w:pPr>
              <w:rPr>
                <w:rFonts w:cstheme="minorHAnsi"/>
              </w:rPr>
            </w:pPr>
            <w:r w:rsidRPr="00BB5EFB">
              <w:rPr>
                <w:rFonts w:cstheme="minorHAnsi"/>
              </w:rPr>
              <w:t>£50</w:t>
            </w:r>
          </w:p>
        </w:tc>
        <w:tc>
          <w:tcPr>
            <w:tcW w:w="2268" w:type="dxa"/>
          </w:tcPr>
          <w:p w:rsidR="006D4CEA" w:rsidRPr="00BB5EFB" w:rsidRDefault="006D4CEA" w:rsidP="00B908DF">
            <w:pPr>
              <w:rPr>
                <w:rFonts w:cstheme="minorHAnsi"/>
              </w:rPr>
            </w:pPr>
            <w:r w:rsidRPr="00BB5EFB">
              <w:rPr>
                <w:rFonts w:cstheme="minorHAnsi"/>
              </w:rPr>
              <w:t>£100</w:t>
            </w:r>
          </w:p>
        </w:tc>
        <w:tc>
          <w:tcPr>
            <w:tcW w:w="1842" w:type="dxa"/>
          </w:tcPr>
          <w:p w:rsidR="006D4CEA" w:rsidRPr="00BB5EFB" w:rsidRDefault="006D4CEA" w:rsidP="00B908DF">
            <w:pPr>
              <w:rPr>
                <w:rFonts w:cstheme="minorHAnsi"/>
              </w:rPr>
            </w:pPr>
            <w:r w:rsidRPr="00BB5EFB">
              <w:rPr>
                <w:rFonts w:cstheme="minorHAnsi"/>
              </w:rPr>
              <w:t>£500</w:t>
            </w:r>
          </w:p>
        </w:tc>
        <w:tc>
          <w:tcPr>
            <w:tcW w:w="1763" w:type="dxa"/>
          </w:tcPr>
          <w:p w:rsidR="006D4CEA" w:rsidRPr="00BB5EFB" w:rsidRDefault="006D4CEA" w:rsidP="00B908DF">
            <w:pPr>
              <w:rPr>
                <w:rFonts w:cstheme="minorHAnsi"/>
              </w:rPr>
            </w:pPr>
            <w:r>
              <w:rPr>
                <w:rFonts w:cstheme="minorHAnsi"/>
              </w:rPr>
              <w:t xml:space="preserve">as per </w:t>
            </w:r>
            <w:hyperlink r:id="rId9" w:history="1">
              <w:r w:rsidRPr="00C27084">
                <w:rPr>
                  <w:rStyle w:val="Hyperlink"/>
                  <w:rFonts w:cstheme="minorHAnsi"/>
                </w:rPr>
                <w:t>National costing NIHR</w:t>
              </w:r>
            </w:hyperlink>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£15 per hour</w:t>
            </w:r>
          </w:p>
          <w:p w:rsidR="006D4CEA" w:rsidRPr="00BB5EFB" w:rsidRDefault="006D4CEA" w:rsidP="00B908DF">
            <w:pPr>
              <w:rPr>
                <w:rFonts w:cstheme="minorHAnsi"/>
              </w:rPr>
            </w:pPr>
          </w:p>
        </w:tc>
        <w:tc>
          <w:tcPr>
            <w:tcW w:w="1842" w:type="dxa"/>
          </w:tcPr>
          <w:p w:rsidR="006D4CEA" w:rsidRPr="00BB5EFB" w:rsidRDefault="006D4CEA" w:rsidP="00B908DF">
            <w:pPr>
              <w:rPr>
                <w:rFonts w:cstheme="minorHAnsi"/>
              </w:rPr>
            </w:pPr>
            <w:r w:rsidRPr="00BB5EFB">
              <w:rPr>
                <w:rFonts w:cstheme="minorHAnsi"/>
              </w:rPr>
              <w:t>£25 per hour</w:t>
            </w:r>
          </w:p>
          <w:p w:rsidR="006D4CEA" w:rsidRPr="00BB5EFB" w:rsidRDefault="006D4CEA" w:rsidP="00B908DF">
            <w:pPr>
              <w:rPr>
                <w:rFonts w:cstheme="minorHAnsi"/>
              </w:rPr>
            </w:pPr>
            <w:r w:rsidRPr="00BB5EFB">
              <w:rPr>
                <w:rFonts w:cstheme="minorHAnsi"/>
              </w:rPr>
              <w:t>£150 per day</w:t>
            </w:r>
          </w:p>
          <w:p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rsidR="006D4CEA" w:rsidRPr="00BB5EFB" w:rsidRDefault="006D4CEA" w:rsidP="00B908DF">
            <w:pPr>
              <w:rPr>
                <w:rFonts w:cstheme="minorHAnsi"/>
              </w:rPr>
            </w:pPr>
          </w:p>
        </w:tc>
        <w:tc>
          <w:tcPr>
            <w:tcW w:w="1763" w:type="dxa"/>
          </w:tcPr>
          <w:p w:rsidR="006D4CEA" w:rsidRPr="00BB5EFB" w:rsidRDefault="006D4CEA" w:rsidP="00B908DF">
            <w:pPr>
              <w:rPr>
                <w:rFonts w:cstheme="minorHAnsi"/>
              </w:rPr>
            </w:pPr>
            <w:r w:rsidRPr="00BB5EFB">
              <w:rPr>
                <w:rFonts w:cstheme="minorHAnsi"/>
              </w:rPr>
              <w:t>£50 per hour</w:t>
            </w:r>
          </w:p>
          <w:p w:rsidR="006D4CEA" w:rsidRPr="00BB5EFB" w:rsidRDefault="006D4CEA" w:rsidP="00B908DF">
            <w:pPr>
              <w:rPr>
                <w:rFonts w:cstheme="minorHAnsi"/>
              </w:rPr>
            </w:pPr>
            <w:r w:rsidRPr="00BB5EFB">
              <w:rPr>
                <w:rFonts w:cstheme="minorHAnsi"/>
              </w:rPr>
              <w:t>£350 per day</w:t>
            </w:r>
          </w:p>
          <w:p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Processing</w:t>
            </w:r>
          </w:p>
          <w:p w:rsidR="006D4CEA" w:rsidRPr="00BB5EFB" w:rsidRDefault="006D4CEA" w:rsidP="00B908DF">
            <w:pPr>
              <w:rPr>
                <w:rFonts w:cstheme="minorHAnsi"/>
                <w:b/>
              </w:rPr>
            </w:pPr>
            <w:r w:rsidRPr="00BB5EFB">
              <w:rPr>
                <w:rFonts w:cstheme="minorHAnsi"/>
                <w:b/>
              </w:rPr>
              <w:t>(when no usage of Clinical Room)</w:t>
            </w:r>
          </w:p>
          <w:p w:rsidR="006D4CEA" w:rsidRPr="00BB5EFB" w:rsidRDefault="006D4CEA" w:rsidP="00B908DF">
            <w:pPr>
              <w:rPr>
                <w:rFonts w:cstheme="minorHAnsi"/>
                <w:b/>
              </w:rPr>
            </w:pP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£5 per hour</w:t>
            </w:r>
          </w:p>
        </w:tc>
        <w:tc>
          <w:tcPr>
            <w:tcW w:w="1842" w:type="dxa"/>
          </w:tcPr>
          <w:p w:rsidR="006D4CEA" w:rsidRPr="00BB5EFB" w:rsidRDefault="006D4CEA" w:rsidP="00B908DF">
            <w:pPr>
              <w:rPr>
                <w:rFonts w:cstheme="minorHAnsi"/>
              </w:rPr>
            </w:pPr>
            <w:r w:rsidRPr="00BB5EFB">
              <w:rPr>
                <w:rFonts w:cstheme="minorHAnsi"/>
              </w:rPr>
              <w:t>£5 per hour</w:t>
            </w:r>
          </w:p>
        </w:tc>
        <w:tc>
          <w:tcPr>
            <w:tcW w:w="1763" w:type="dxa"/>
          </w:tcPr>
          <w:p w:rsidR="006D4CEA" w:rsidRPr="00BB5EFB" w:rsidRDefault="006D4CEA" w:rsidP="00B908DF">
            <w:pPr>
              <w:rPr>
                <w:rFonts w:cstheme="minorHAnsi"/>
              </w:rPr>
            </w:pPr>
            <w:r w:rsidRPr="00BB5EFB">
              <w:rPr>
                <w:rFonts w:cstheme="minorHAnsi"/>
              </w:rPr>
              <w:t>£10 per hour</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Storage</w:t>
            </w:r>
          </w:p>
          <w:p w:rsidR="006D4CEA" w:rsidRPr="00BB5EFB" w:rsidRDefault="006D4CEA" w:rsidP="00B908DF">
            <w:pPr>
              <w:rPr>
                <w:rFonts w:cstheme="minorHAnsi"/>
                <w:b/>
              </w:rPr>
            </w:pPr>
            <w:r w:rsidRPr="00BB5EFB">
              <w:rPr>
                <w:rFonts w:cstheme="minorHAnsi"/>
                <w:b/>
              </w:rPr>
              <w:t>(when no usage of Clinical room)</w:t>
            </w:r>
          </w:p>
        </w:tc>
        <w:tc>
          <w:tcPr>
            <w:tcW w:w="1521"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2268"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842"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763"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p w:rsidR="006D4CEA" w:rsidRPr="00BB5EFB" w:rsidRDefault="006D4CEA" w:rsidP="00B908DF">
            <w:pPr>
              <w:rPr>
                <w:rFonts w:cstheme="minorHAnsi"/>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4508"/>
        <w:gridCol w:w="4508"/>
      </w:tblGrid>
      <w:tr w:rsidR="00E20BE6" w:rsidRPr="00E20BE6" w:rsidTr="00B908DF">
        <w:tc>
          <w:tcPr>
            <w:tcW w:w="4508" w:type="dxa"/>
          </w:tcPr>
          <w:p w:rsidR="00E20BE6" w:rsidRPr="00E20BE6" w:rsidRDefault="00E20BE6" w:rsidP="00B908DF">
            <w:pPr>
              <w:rPr>
                <w:rFonts w:cstheme="minorHAnsi"/>
                <w:b/>
                <w:sz w:val="24"/>
                <w:szCs w:val="24"/>
              </w:rPr>
            </w:pPr>
            <w:r w:rsidRPr="00E20BE6">
              <w:rPr>
                <w:rFonts w:cstheme="minorHAnsi"/>
                <w:b/>
                <w:sz w:val="24"/>
                <w:szCs w:val="24"/>
              </w:rPr>
              <w:t xml:space="preserve">Activity </w:t>
            </w:r>
          </w:p>
        </w:tc>
        <w:tc>
          <w:tcPr>
            <w:tcW w:w="4508" w:type="dxa"/>
          </w:tcPr>
          <w:p w:rsidR="00E20BE6" w:rsidRPr="00E20BE6" w:rsidRDefault="00E20BE6" w:rsidP="00B908DF">
            <w:pPr>
              <w:rPr>
                <w:rFonts w:cstheme="minorHAnsi"/>
                <w:b/>
                <w:sz w:val="24"/>
                <w:szCs w:val="24"/>
              </w:rPr>
            </w:pPr>
            <w:r w:rsidRPr="00E20BE6">
              <w:rPr>
                <w:rFonts w:cstheme="minorHAnsi"/>
                <w:b/>
                <w:sz w:val="24"/>
                <w:szCs w:val="24"/>
              </w:rPr>
              <w:t>Costs</w:t>
            </w:r>
          </w:p>
        </w:tc>
      </w:tr>
      <w:tr w:rsidR="00E20BE6" w:rsidRPr="00E20BE6" w:rsidTr="00B908DF">
        <w:tc>
          <w:tcPr>
            <w:tcW w:w="4508" w:type="dxa"/>
          </w:tcPr>
          <w:p w:rsidR="00E20BE6" w:rsidRPr="00E20BE6" w:rsidRDefault="00E20BE6" w:rsidP="00B908DF">
            <w:pPr>
              <w:rPr>
                <w:rFonts w:cstheme="minorHAnsi"/>
                <w:sz w:val="24"/>
                <w:szCs w:val="24"/>
              </w:rPr>
            </w:pPr>
            <w:r w:rsidRPr="00E20BE6">
              <w:rPr>
                <w:rFonts w:cstheme="minorHAnsi"/>
                <w:sz w:val="24"/>
                <w:szCs w:val="24"/>
              </w:rPr>
              <w:t xml:space="preserve">Blood Service </w:t>
            </w:r>
          </w:p>
        </w:tc>
        <w:tc>
          <w:tcPr>
            <w:tcW w:w="4508" w:type="dxa"/>
          </w:tcPr>
          <w:p w:rsidR="00E20BE6" w:rsidRPr="00E20BE6" w:rsidRDefault="00E20BE6" w:rsidP="00B908DF">
            <w:pPr>
              <w:rPr>
                <w:rFonts w:cstheme="minorHAnsi"/>
                <w:sz w:val="24"/>
                <w:szCs w:val="24"/>
              </w:rPr>
            </w:pPr>
            <w:r w:rsidRPr="00E20BE6">
              <w:rPr>
                <w:rFonts w:cstheme="minorHAnsi"/>
                <w:sz w:val="24"/>
                <w:szCs w:val="24"/>
              </w:rPr>
              <w:t>Normally charged @Band 3 dependent on capacity</w:t>
            </w:r>
          </w:p>
        </w:tc>
      </w:tr>
      <w:tr w:rsidR="00E20BE6" w:rsidRPr="00E20BE6" w:rsidTr="00B908DF">
        <w:tc>
          <w:tcPr>
            <w:tcW w:w="4508" w:type="dxa"/>
          </w:tcPr>
          <w:p w:rsidR="00E20BE6" w:rsidRPr="00E20BE6" w:rsidRDefault="00E20BE6" w:rsidP="00B908DF">
            <w:pPr>
              <w:rPr>
                <w:rFonts w:cstheme="minorHAnsi"/>
                <w:sz w:val="24"/>
                <w:szCs w:val="24"/>
              </w:rPr>
            </w:pPr>
            <w:r w:rsidRPr="00E20BE6">
              <w:rPr>
                <w:rFonts w:cstheme="minorHAnsi"/>
                <w:sz w:val="24"/>
                <w:szCs w:val="24"/>
              </w:rPr>
              <w:t xml:space="preserve">Technical Support </w:t>
            </w:r>
          </w:p>
        </w:tc>
        <w:tc>
          <w:tcPr>
            <w:tcW w:w="4508" w:type="dxa"/>
          </w:tcPr>
          <w:p w:rsidR="00E20BE6" w:rsidRPr="00E20BE6" w:rsidRDefault="00E20BE6" w:rsidP="00B908DF">
            <w:pPr>
              <w:rPr>
                <w:rFonts w:cstheme="minorHAnsi"/>
                <w:sz w:val="24"/>
                <w:szCs w:val="24"/>
              </w:rPr>
            </w:pPr>
            <w:r w:rsidRPr="00E20BE6">
              <w:rPr>
                <w:rFonts w:cstheme="minorHAnsi"/>
                <w:sz w:val="24"/>
                <w:szCs w:val="24"/>
              </w:rPr>
              <w:t>Normally charged @ Band 6 dependent on capacity</w:t>
            </w:r>
          </w:p>
        </w:tc>
      </w:tr>
      <w:tr w:rsidR="00E20BE6" w:rsidRPr="00E20BE6" w:rsidTr="00B908DF">
        <w:tc>
          <w:tcPr>
            <w:tcW w:w="4508" w:type="dxa"/>
          </w:tcPr>
          <w:p w:rsidR="00E20BE6" w:rsidRPr="00E20BE6" w:rsidRDefault="00E20BE6" w:rsidP="00B908DF">
            <w:pPr>
              <w:rPr>
                <w:rFonts w:cstheme="minorHAnsi"/>
                <w:sz w:val="24"/>
                <w:szCs w:val="24"/>
              </w:rPr>
            </w:pPr>
            <w:r w:rsidRPr="00E20BE6">
              <w:rPr>
                <w:rFonts w:cstheme="minorHAnsi"/>
                <w:sz w:val="24"/>
                <w:szCs w:val="24"/>
              </w:rPr>
              <w:t xml:space="preserve">Admin Support </w:t>
            </w:r>
          </w:p>
        </w:tc>
        <w:tc>
          <w:tcPr>
            <w:tcW w:w="4508" w:type="dxa"/>
          </w:tcPr>
          <w:p w:rsidR="00E20BE6" w:rsidRPr="00E20BE6" w:rsidRDefault="00E20BE6" w:rsidP="00B908DF">
            <w:pPr>
              <w:rPr>
                <w:rFonts w:cstheme="minorHAnsi"/>
                <w:sz w:val="24"/>
                <w:szCs w:val="24"/>
              </w:rPr>
            </w:pPr>
            <w:r w:rsidRPr="00E20BE6">
              <w:rPr>
                <w:rFonts w:cstheme="minorHAnsi"/>
                <w:sz w:val="24"/>
                <w:szCs w:val="24"/>
              </w:rPr>
              <w:t>Normally charged @ Band 4 dependent on capacity</w:t>
            </w:r>
          </w:p>
        </w:tc>
      </w:tr>
    </w:tbl>
    <w:p w:rsidR="00E20BE6" w:rsidRPr="00E20BE6" w:rsidRDefault="00E20BE6" w:rsidP="00E20BE6">
      <w:pPr>
        <w:jc w:val="both"/>
        <w:rPr>
          <w:rFonts w:cstheme="minorHAnsi"/>
          <w:b/>
          <w:sz w:val="24"/>
          <w:szCs w:val="24"/>
        </w:rPr>
      </w:pPr>
    </w:p>
    <w:p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0"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rsidR="00E20BE6" w:rsidRDefault="00E20BE6" w:rsidP="00E20BE6">
      <w:pPr>
        <w:jc w:val="both"/>
        <w:rPr>
          <w:rFonts w:cstheme="minorHAnsi"/>
        </w:rPr>
      </w:pPr>
    </w:p>
    <w:p w:rsidR="00E20BE6" w:rsidRDefault="00E20BE6" w:rsidP="00E20BE6">
      <w:pPr>
        <w:jc w:val="both"/>
        <w:rPr>
          <w:rFonts w:cstheme="minorHAnsi"/>
        </w:rPr>
      </w:pPr>
    </w:p>
    <w:p w:rsidR="00E20BE6" w:rsidRDefault="00E20BE6" w:rsidP="00E20BE6">
      <w:pPr>
        <w:jc w:val="both"/>
        <w:rPr>
          <w:rFonts w:cstheme="minorHAnsi"/>
        </w:rPr>
      </w:pPr>
    </w:p>
    <w:p w:rsidR="00B22159" w:rsidRPr="00BB16A1" w:rsidRDefault="00B22159" w:rsidP="00E20BE6">
      <w:pPr>
        <w:rPr>
          <w:sz w:val="24"/>
          <w:szCs w:val="24"/>
        </w:rPr>
      </w:pPr>
    </w:p>
    <w:sectPr w:rsidR="00B22159" w:rsidRPr="00BB16A1" w:rsidSect="0082232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34" w:rsidRDefault="00AE0E34" w:rsidP="00AA01B6">
      <w:pPr>
        <w:spacing w:after="0" w:line="240" w:lineRule="auto"/>
      </w:pPr>
      <w:r>
        <w:separator/>
      </w:r>
    </w:p>
  </w:endnote>
  <w:endnote w:type="continuationSeparator" w:id="0">
    <w:p w:rsidR="00AE0E34" w:rsidRDefault="00AE0E34"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4C3665">
      <w:t>1</w:t>
    </w:r>
    <w:r w:rsidR="006D4CEA">
      <w:t>2</w:t>
    </w:r>
    <w:r w:rsidR="00EC527A">
      <w:t xml:space="preserve"> – </w:t>
    </w:r>
    <w:r w:rsidR="006D4CEA">
      <w:t>September 2021</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34" w:rsidRDefault="00AE0E34" w:rsidP="00AA01B6">
      <w:pPr>
        <w:spacing w:after="0" w:line="240" w:lineRule="auto"/>
      </w:pPr>
      <w:r>
        <w:separator/>
      </w:r>
    </w:p>
  </w:footnote>
  <w:footnote w:type="continuationSeparator" w:id="0">
    <w:p w:rsidR="00AE0E34" w:rsidRDefault="00AE0E34"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8552C"/>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6D4CEA"/>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716B4"/>
    <w:rsid w:val="00AA01B6"/>
    <w:rsid w:val="00AE0E34"/>
    <w:rsid w:val="00B22159"/>
    <w:rsid w:val="00B65769"/>
    <w:rsid w:val="00BB16A1"/>
    <w:rsid w:val="00BE40D2"/>
    <w:rsid w:val="00C95249"/>
    <w:rsid w:val="00CA0A92"/>
    <w:rsid w:val="00CB639C"/>
    <w:rsid w:val="00CD6A32"/>
    <w:rsid w:val="00D13FF1"/>
    <w:rsid w:val="00D22494"/>
    <w:rsid w:val="00D36132"/>
    <w:rsid w:val="00E15461"/>
    <w:rsid w:val="00E20BE6"/>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CRF@qub.ac.uk"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1689-11A0-4A2B-BCC0-F66214FE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Diarmaid Gorman</cp:lastModifiedBy>
  <cp:revision>5</cp:revision>
  <cp:lastPrinted>2018-02-06T14:37:00Z</cp:lastPrinted>
  <dcterms:created xsi:type="dcterms:W3CDTF">2021-10-06T07:39:00Z</dcterms:created>
  <dcterms:modified xsi:type="dcterms:W3CDTF">2021-10-06T08:27:00Z</dcterms:modified>
</cp:coreProperties>
</file>