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Trust/Wolfson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bookmarkStart w:id="0" w:name="_GoBack"/>
      <w:bookmarkEnd w:id="0"/>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799"/>
        <w:gridCol w:w="1502"/>
        <w:gridCol w:w="2186"/>
        <w:gridCol w:w="1805"/>
        <w:gridCol w:w="1724"/>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512E2B">
            <w:pPr>
              <w:rPr>
                <w:sz w:val="24"/>
                <w:szCs w:val="24"/>
              </w:rPr>
            </w:pPr>
            <w:r>
              <w:rPr>
                <w:sz w:val="24"/>
                <w:szCs w:val="24"/>
              </w:rPr>
              <w:t>£</w:t>
            </w:r>
            <w:r w:rsidR="00512E2B">
              <w:rPr>
                <w:sz w:val="24"/>
                <w:szCs w:val="24"/>
              </w:rPr>
              <w:t>1400</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lastRenderedPageBreak/>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lastRenderedPageBreak/>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lastRenderedPageBreak/>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7F2EB5" w:rsidRPr="007F2EB5" w:rsidRDefault="00DA4D31" w:rsidP="007F2EB5">
      <w:pPr>
        <w:rPr>
          <w:rFonts w:eastAsiaTheme="minorHAnsi" w:cstheme="minorBidi"/>
          <w:b/>
          <w:sz w:val="28"/>
          <w:szCs w:val="28"/>
        </w:rPr>
      </w:pPr>
      <w:r>
        <w:rPr>
          <w:rFonts w:eastAsiaTheme="minorHAnsi" w:cstheme="minorBidi"/>
          <w:b/>
          <w:sz w:val="28"/>
          <w:szCs w:val="28"/>
        </w:rPr>
        <w:t>C</w:t>
      </w:r>
      <w:r w:rsidR="007F2EB5" w:rsidRPr="007F2EB5">
        <w:rPr>
          <w:rFonts w:eastAsiaTheme="minorHAnsi" w:cstheme="minorBidi"/>
          <w:b/>
          <w:sz w:val="28"/>
          <w:szCs w:val="28"/>
        </w:rPr>
        <w:t xml:space="preserve">osts for additional services provided by NICRF </w:t>
      </w:r>
    </w:p>
    <w:p w:rsidR="007F2EB5" w:rsidRPr="007F2EB5" w:rsidRDefault="007F2EB5" w:rsidP="007F2EB5">
      <w:pPr>
        <w:rPr>
          <w:rFonts w:eastAsiaTheme="minorHAnsi" w:cstheme="minorBidi"/>
          <w:sz w:val="24"/>
          <w:szCs w:val="24"/>
        </w:rPr>
      </w:pPr>
      <w:r>
        <w:rPr>
          <w:rFonts w:eastAsiaTheme="minorHAnsi" w:cstheme="minorBidi"/>
          <w:sz w:val="24"/>
          <w:szCs w:val="24"/>
        </w:rPr>
        <w:t>N</w:t>
      </w:r>
      <w:r w:rsidRPr="007F2EB5">
        <w:rPr>
          <w:rFonts w:eastAsiaTheme="minorHAnsi" w:cstheme="minorBidi"/>
          <w:sz w:val="24"/>
          <w:szCs w:val="24"/>
        </w:rPr>
        <w:t xml:space="preserve">ICRF can also provide support for one off activities. The may be part of main study or just an additional service.   </w:t>
      </w:r>
    </w:p>
    <w:tbl>
      <w:tblPr>
        <w:tblStyle w:val="TableGrid1"/>
        <w:tblW w:w="0" w:type="auto"/>
        <w:tblLook w:val="04A0" w:firstRow="1" w:lastRow="0" w:firstColumn="1" w:lastColumn="0" w:noHBand="0" w:noVBand="1"/>
      </w:tblPr>
      <w:tblGrid>
        <w:gridCol w:w="4508"/>
        <w:gridCol w:w="4508"/>
      </w:tblGrid>
      <w:tr w:rsidR="007F2EB5" w:rsidRPr="007F2EB5" w:rsidTr="0088727C">
        <w:tc>
          <w:tcPr>
            <w:tcW w:w="4621" w:type="dxa"/>
          </w:tcPr>
          <w:p w:rsidR="007F2EB5" w:rsidRPr="007F2EB5" w:rsidRDefault="007F2EB5" w:rsidP="007F2EB5">
            <w:pPr>
              <w:rPr>
                <w:rFonts w:cstheme="minorBidi"/>
                <w:b/>
                <w:sz w:val="28"/>
                <w:szCs w:val="28"/>
              </w:rPr>
            </w:pPr>
            <w:r w:rsidRPr="007F2EB5">
              <w:rPr>
                <w:rFonts w:cstheme="minorBidi"/>
                <w:b/>
                <w:sz w:val="28"/>
                <w:szCs w:val="28"/>
              </w:rPr>
              <w:t xml:space="preserve">Activity </w:t>
            </w:r>
          </w:p>
        </w:tc>
        <w:tc>
          <w:tcPr>
            <w:tcW w:w="4621" w:type="dxa"/>
          </w:tcPr>
          <w:p w:rsidR="007F2EB5" w:rsidRPr="007F2EB5" w:rsidRDefault="007F2EB5" w:rsidP="007F2EB5">
            <w:pPr>
              <w:rPr>
                <w:rFonts w:cstheme="minorBidi"/>
                <w:b/>
                <w:sz w:val="28"/>
                <w:szCs w:val="28"/>
              </w:rPr>
            </w:pPr>
            <w:r w:rsidRPr="007F2EB5">
              <w:rPr>
                <w:rFonts w:cstheme="minorBidi"/>
                <w:b/>
                <w:sz w:val="28"/>
                <w:szCs w:val="28"/>
              </w:rPr>
              <w:t>Costs</w:t>
            </w:r>
          </w:p>
        </w:tc>
      </w:tr>
      <w:tr w:rsidR="007F2EB5" w:rsidRPr="007F2EB5" w:rsidTr="0088727C">
        <w:tc>
          <w:tcPr>
            <w:tcW w:w="4621" w:type="dxa"/>
          </w:tcPr>
          <w:p w:rsidR="007F2EB5" w:rsidRPr="007F2EB5" w:rsidRDefault="007F2EB5" w:rsidP="007F2EB5">
            <w:pPr>
              <w:rPr>
                <w:rFonts w:cstheme="minorBidi"/>
                <w:sz w:val="24"/>
                <w:szCs w:val="24"/>
              </w:rPr>
            </w:pPr>
            <w:r w:rsidRPr="007F2EB5">
              <w:rPr>
                <w:rFonts w:cstheme="minorBidi"/>
                <w:sz w:val="24"/>
                <w:szCs w:val="24"/>
              </w:rPr>
              <w:t xml:space="preserve">ECG </w:t>
            </w:r>
          </w:p>
        </w:tc>
        <w:tc>
          <w:tcPr>
            <w:tcW w:w="4621" w:type="dxa"/>
          </w:tcPr>
          <w:p w:rsidR="007F2EB5" w:rsidRPr="007F2EB5" w:rsidRDefault="007F2EB5" w:rsidP="007F2EB5">
            <w:pPr>
              <w:rPr>
                <w:rFonts w:cstheme="minorBidi"/>
                <w:sz w:val="24"/>
                <w:szCs w:val="24"/>
              </w:rPr>
            </w:pPr>
            <w:r w:rsidRPr="007F2EB5">
              <w:rPr>
                <w:rFonts w:cstheme="minorBidi"/>
                <w:sz w:val="24"/>
                <w:szCs w:val="24"/>
              </w:rPr>
              <w:t>£35 per ECG</w:t>
            </w:r>
          </w:p>
        </w:tc>
      </w:tr>
      <w:tr w:rsidR="007F2EB5" w:rsidRPr="007F2EB5" w:rsidTr="0088727C">
        <w:tc>
          <w:tcPr>
            <w:tcW w:w="4621" w:type="dxa"/>
          </w:tcPr>
          <w:p w:rsidR="007F2EB5" w:rsidRPr="007F2EB5" w:rsidRDefault="007F2EB5" w:rsidP="007F2EB5">
            <w:pPr>
              <w:rPr>
                <w:rFonts w:cstheme="minorBidi"/>
                <w:sz w:val="24"/>
                <w:szCs w:val="24"/>
              </w:rPr>
            </w:pPr>
            <w:r w:rsidRPr="007F2EB5">
              <w:rPr>
                <w:rFonts w:cstheme="minorBidi"/>
                <w:sz w:val="24"/>
                <w:szCs w:val="24"/>
              </w:rPr>
              <w:t>ECHO</w:t>
            </w:r>
          </w:p>
        </w:tc>
        <w:tc>
          <w:tcPr>
            <w:tcW w:w="4621" w:type="dxa"/>
          </w:tcPr>
          <w:p w:rsidR="007F2EB5" w:rsidRPr="007F2EB5" w:rsidRDefault="007F2EB5" w:rsidP="007F2EB5">
            <w:pPr>
              <w:rPr>
                <w:rFonts w:cstheme="minorBidi"/>
                <w:sz w:val="24"/>
                <w:szCs w:val="24"/>
              </w:rPr>
            </w:pPr>
            <w:r w:rsidRPr="007F2EB5">
              <w:rPr>
                <w:rFonts w:cstheme="minorBidi"/>
                <w:sz w:val="24"/>
                <w:szCs w:val="24"/>
              </w:rPr>
              <w:t>£244.52 per ECHO</w:t>
            </w:r>
          </w:p>
        </w:tc>
      </w:tr>
      <w:tr w:rsidR="007F2EB5" w:rsidRPr="007F2EB5" w:rsidTr="0088727C">
        <w:tc>
          <w:tcPr>
            <w:tcW w:w="4621" w:type="dxa"/>
          </w:tcPr>
          <w:p w:rsidR="007F2EB5" w:rsidRPr="007F2EB5" w:rsidRDefault="007F2EB5" w:rsidP="007F2EB5">
            <w:pPr>
              <w:rPr>
                <w:rFonts w:cstheme="minorBidi"/>
                <w:sz w:val="24"/>
                <w:szCs w:val="24"/>
              </w:rPr>
            </w:pPr>
            <w:r w:rsidRPr="007F2EB5">
              <w:rPr>
                <w:rFonts w:cstheme="minorBidi"/>
                <w:sz w:val="24"/>
                <w:szCs w:val="24"/>
              </w:rPr>
              <w:t xml:space="preserve">Blood Service </w:t>
            </w:r>
          </w:p>
        </w:tc>
        <w:tc>
          <w:tcPr>
            <w:tcW w:w="4621" w:type="dxa"/>
          </w:tcPr>
          <w:p w:rsidR="007F2EB5" w:rsidRPr="007F2EB5" w:rsidRDefault="007F2EB5" w:rsidP="007F2EB5">
            <w:pPr>
              <w:rPr>
                <w:rFonts w:cstheme="minorBidi"/>
                <w:sz w:val="24"/>
                <w:szCs w:val="24"/>
              </w:rPr>
            </w:pPr>
            <w:r w:rsidRPr="007F2EB5">
              <w:rPr>
                <w:rFonts w:cstheme="minorBidi"/>
                <w:sz w:val="24"/>
                <w:szCs w:val="24"/>
              </w:rPr>
              <w:t>Normally charged @Band 3</w:t>
            </w:r>
          </w:p>
        </w:tc>
      </w:tr>
      <w:tr w:rsidR="007F2EB5" w:rsidRPr="007F2EB5" w:rsidTr="0088727C">
        <w:tc>
          <w:tcPr>
            <w:tcW w:w="4621" w:type="dxa"/>
          </w:tcPr>
          <w:p w:rsidR="007F2EB5" w:rsidRPr="007F2EB5" w:rsidRDefault="007F2EB5" w:rsidP="007F2EB5">
            <w:pPr>
              <w:rPr>
                <w:rFonts w:cstheme="minorBidi"/>
                <w:sz w:val="24"/>
                <w:szCs w:val="24"/>
              </w:rPr>
            </w:pPr>
            <w:r w:rsidRPr="007F2EB5">
              <w:rPr>
                <w:rFonts w:cstheme="minorBidi"/>
                <w:sz w:val="24"/>
                <w:szCs w:val="24"/>
              </w:rPr>
              <w:t xml:space="preserve">Technical Support </w:t>
            </w:r>
          </w:p>
        </w:tc>
        <w:tc>
          <w:tcPr>
            <w:tcW w:w="4621" w:type="dxa"/>
          </w:tcPr>
          <w:p w:rsidR="007F2EB5" w:rsidRPr="007F2EB5" w:rsidRDefault="007F2EB5" w:rsidP="007F2EB5">
            <w:pPr>
              <w:rPr>
                <w:rFonts w:cstheme="minorBidi"/>
                <w:sz w:val="24"/>
                <w:szCs w:val="24"/>
              </w:rPr>
            </w:pPr>
            <w:r w:rsidRPr="007F2EB5">
              <w:rPr>
                <w:rFonts w:cstheme="minorBidi"/>
                <w:sz w:val="24"/>
                <w:szCs w:val="24"/>
              </w:rPr>
              <w:t>Normally charged @ Band 6</w:t>
            </w:r>
          </w:p>
        </w:tc>
      </w:tr>
      <w:tr w:rsidR="007F2EB5" w:rsidRPr="007F2EB5" w:rsidTr="0088727C">
        <w:tc>
          <w:tcPr>
            <w:tcW w:w="4621" w:type="dxa"/>
          </w:tcPr>
          <w:p w:rsidR="007F2EB5" w:rsidRPr="007F2EB5" w:rsidRDefault="007F2EB5" w:rsidP="007F2EB5">
            <w:pPr>
              <w:rPr>
                <w:rFonts w:cstheme="minorBidi"/>
                <w:sz w:val="24"/>
                <w:szCs w:val="24"/>
              </w:rPr>
            </w:pPr>
            <w:r w:rsidRPr="007F2EB5">
              <w:rPr>
                <w:rFonts w:cstheme="minorBidi"/>
                <w:sz w:val="24"/>
                <w:szCs w:val="24"/>
              </w:rPr>
              <w:t xml:space="preserve">Admin Support </w:t>
            </w:r>
          </w:p>
        </w:tc>
        <w:tc>
          <w:tcPr>
            <w:tcW w:w="4621" w:type="dxa"/>
          </w:tcPr>
          <w:p w:rsidR="007F2EB5" w:rsidRPr="007F2EB5" w:rsidRDefault="007F2EB5" w:rsidP="007F2EB5">
            <w:pPr>
              <w:rPr>
                <w:rFonts w:cstheme="minorBidi"/>
                <w:sz w:val="24"/>
                <w:szCs w:val="24"/>
              </w:rPr>
            </w:pPr>
            <w:r w:rsidRPr="007F2EB5">
              <w:rPr>
                <w:rFonts w:cstheme="minorBidi"/>
                <w:sz w:val="24"/>
                <w:szCs w:val="24"/>
              </w:rPr>
              <w:t>Normally charged @ Band 4</w:t>
            </w:r>
          </w:p>
        </w:tc>
      </w:tr>
    </w:tbl>
    <w:p w:rsidR="00B90091" w:rsidRDefault="00B90091" w:rsidP="00525BEF">
      <w:pPr>
        <w:jc w:val="both"/>
        <w:rPr>
          <w:b/>
          <w:sz w:val="24"/>
          <w:szCs w:val="24"/>
        </w:rPr>
      </w:pPr>
    </w:p>
    <w:p w:rsidR="00B22159" w:rsidRPr="00B22159" w:rsidRDefault="00B22159" w:rsidP="00525BEF">
      <w:pPr>
        <w:jc w:val="both"/>
        <w:rPr>
          <w:b/>
          <w:sz w:val="24"/>
          <w:szCs w:val="24"/>
        </w:rPr>
      </w:pPr>
      <w:r w:rsidRPr="00B22159">
        <w:rPr>
          <w:b/>
          <w:sz w:val="24"/>
          <w:szCs w:val="24"/>
        </w:rPr>
        <w:t xml:space="preserve">Staff Costings </w:t>
      </w:r>
    </w:p>
    <w:p w:rsidR="00B22159" w:rsidRPr="00BB16A1" w:rsidRDefault="00B22159" w:rsidP="00525BEF">
      <w:pPr>
        <w:jc w:val="both"/>
        <w:rPr>
          <w:sz w:val="24"/>
          <w:szCs w:val="24"/>
        </w:rPr>
      </w:pPr>
      <w:r>
        <w:rPr>
          <w:sz w:val="24"/>
          <w:szCs w:val="24"/>
        </w:rPr>
        <w:t xml:space="preserve">If you are requiring the cost of </w:t>
      </w:r>
      <w:r w:rsidR="007F2EB5">
        <w:rPr>
          <w:sz w:val="24"/>
          <w:szCs w:val="24"/>
        </w:rPr>
        <w:t xml:space="preserve">staff </w:t>
      </w:r>
      <w:r>
        <w:rPr>
          <w:sz w:val="24"/>
          <w:szCs w:val="24"/>
        </w:rPr>
        <w:t xml:space="preserve">support for your studies, please contact the NICRF </w:t>
      </w:r>
      <w:hyperlink r:id="rId9" w:history="1">
        <w:r w:rsidR="00315999" w:rsidRPr="00175FA9">
          <w:rPr>
            <w:rStyle w:val="Hyperlink"/>
            <w:sz w:val="24"/>
            <w:szCs w:val="24"/>
          </w:rPr>
          <w:t>NICRF@qub.ac.uk</w:t>
        </w:r>
      </w:hyperlink>
      <w:r>
        <w:rPr>
          <w:sz w:val="24"/>
          <w:szCs w:val="24"/>
        </w:rPr>
        <w:t xml:space="preserve"> for our current rates. </w:t>
      </w:r>
    </w:p>
    <w:sectPr w:rsidR="00B22159" w:rsidRPr="00BB16A1" w:rsidSect="00822325">
      <w:headerReference w:type="default" r:id="rId10"/>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DC7" w:rsidRDefault="000B7DC7" w:rsidP="00AA01B6">
      <w:pPr>
        <w:spacing w:after="0" w:line="240" w:lineRule="auto"/>
      </w:pPr>
      <w:r>
        <w:separator/>
      </w:r>
    </w:p>
  </w:endnote>
  <w:endnote w:type="continuationSeparator" w:id="0">
    <w:p w:rsidR="000B7DC7" w:rsidRDefault="000B7DC7"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315999">
      <w:t>10</w:t>
    </w:r>
    <w:r w:rsidR="00EC527A">
      <w:t xml:space="preserve"> – </w:t>
    </w:r>
    <w:r w:rsidR="00315999">
      <w:t>July</w:t>
    </w:r>
    <w:r w:rsidR="002646F3">
      <w:t xml:space="preserve"> 2018</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DC7" w:rsidRDefault="000B7DC7" w:rsidP="00AA01B6">
      <w:pPr>
        <w:spacing w:after="0" w:line="240" w:lineRule="auto"/>
      </w:pPr>
      <w:r>
        <w:separator/>
      </w:r>
    </w:p>
  </w:footnote>
  <w:footnote w:type="continuationSeparator" w:id="0">
    <w:p w:rsidR="000B7DC7" w:rsidRDefault="000B7DC7" w:rsidP="00AA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91" w:rsidRDefault="00B90091">
    <w:pPr>
      <w:pStyle w:val="Header"/>
    </w:pPr>
  </w:p>
  <w:p w:rsidR="009D0C5F" w:rsidRDefault="009D0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0B7DC7"/>
    <w:rsid w:val="0018133A"/>
    <w:rsid w:val="001B7310"/>
    <w:rsid w:val="001F4D7C"/>
    <w:rsid w:val="0023345C"/>
    <w:rsid w:val="00252387"/>
    <w:rsid w:val="002646F3"/>
    <w:rsid w:val="0028121D"/>
    <w:rsid w:val="002A0E7D"/>
    <w:rsid w:val="002C0951"/>
    <w:rsid w:val="002F7432"/>
    <w:rsid w:val="00311268"/>
    <w:rsid w:val="00315999"/>
    <w:rsid w:val="003170F5"/>
    <w:rsid w:val="003A6A68"/>
    <w:rsid w:val="003D7A7A"/>
    <w:rsid w:val="003E4985"/>
    <w:rsid w:val="004536E0"/>
    <w:rsid w:val="004A1DFA"/>
    <w:rsid w:val="004C4EC6"/>
    <w:rsid w:val="00512E2B"/>
    <w:rsid w:val="00525BEF"/>
    <w:rsid w:val="00544402"/>
    <w:rsid w:val="00556DDE"/>
    <w:rsid w:val="005708ED"/>
    <w:rsid w:val="005D442A"/>
    <w:rsid w:val="005F759E"/>
    <w:rsid w:val="0064437C"/>
    <w:rsid w:val="0065013C"/>
    <w:rsid w:val="00775D88"/>
    <w:rsid w:val="00791391"/>
    <w:rsid w:val="0079797E"/>
    <w:rsid w:val="007F2EB5"/>
    <w:rsid w:val="00822325"/>
    <w:rsid w:val="00844B58"/>
    <w:rsid w:val="00881BA8"/>
    <w:rsid w:val="008D3121"/>
    <w:rsid w:val="008D3A78"/>
    <w:rsid w:val="00934845"/>
    <w:rsid w:val="009C2DAC"/>
    <w:rsid w:val="009D0C5F"/>
    <w:rsid w:val="009D0E26"/>
    <w:rsid w:val="00A332BB"/>
    <w:rsid w:val="00A3557D"/>
    <w:rsid w:val="00A716B4"/>
    <w:rsid w:val="00AA01B6"/>
    <w:rsid w:val="00B22159"/>
    <w:rsid w:val="00B65769"/>
    <w:rsid w:val="00B90091"/>
    <w:rsid w:val="00BB16A1"/>
    <w:rsid w:val="00BE40D2"/>
    <w:rsid w:val="00C95249"/>
    <w:rsid w:val="00CA0A92"/>
    <w:rsid w:val="00CB639C"/>
    <w:rsid w:val="00CD6A32"/>
    <w:rsid w:val="00D13FF1"/>
    <w:rsid w:val="00D22494"/>
    <w:rsid w:val="00D36132"/>
    <w:rsid w:val="00DA4D31"/>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BE08F"/>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7F2EB5"/>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RF@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EC2E-3C15-4D7A-AD85-CF220873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3</cp:revision>
  <cp:lastPrinted>2018-02-06T14:37:00Z</cp:lastPrinted>
  <dcterms:created xsi:type="dcterms:W3CDTF">2018-11-12T13:33:00Z</dcterms:created>
  <dcterms:modified xsi:type="dcterms:W3CDTF">2018-11-12T13:35:00Z</dcterms:modified>
</cp:coreProperties>
</file>