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BDD71" w14:textId="77777777" w:rsidR="00EE36C7" w:rsidRPr="00DB06B6" w:rsidRDefault="00EE36C7" w:rsidP="00EE36C7">
      <w:pPr>
        <w:pStyle w:val="Title"/>
        <w:jc w:val="center"/>
        <w:rPr>
          <w:rFonts w:ascii="Times New Roman" w:hAnsi="Times New Roman" w:cs="Times New Roman"/>
          <w:sz w:val="48"/>
          <w:szCs w:val="48"/>
        </w:rPr>
      </w:pPr>
      <w:r w:rsidRPr="00DB06B6">
        <w:rPr>
          <w:rFonts w:ascii="Times New Roman" w:hAnsi="Times New Roman" w:cs="Times New Roman"/>
          <w:sz w:val="48"/>
          <w:szCs w:val="48"/>
        </w:rPr>
        <w:t>Public consultation</w:t>
      </w:r>
    </w:p>
    <w:p w14:paraId="726B38DA" w14:textId="77777777" w:rsidR="00EE36C7" w:rsidRPr="00DB06B6" w:rsidRDefault="00EE36C7" w:rsidP="00EE36C7">
      <w:pPr>
        <w:pStyle w:val="Title"/>
        <w:jc w:val="center"/>
        <w:rPr>
          <w:rFonts w:ascii="Times New Roman" w:hAnsi="Times New Roman" w:cs="Times New Roman"/>
          <w:sz w:val="48"/>
          <w:szCs w:val="48"/>
        </w:rPr>
      </w:pPr>
      <w:r w:rsidRPr="00DB06B6">
        <w:rPr>
          <w:rFonts w:ascii="Times New Roman" w:hAnsi="Times New Roman" w:cs="Times New Roman"/>
          <w:sz w:val="48"/>
          <w:szCs w:val="48"/>
        </w:rPr>
        <w:t>Consent to serious harm for sexual gratification: not a defence</w:t>
      </w:r>
    </w:p>
    <w:p w14:paraId="1670E654" w14:textId="77777777" w:rsidR="00EE36C7" w:rsidRPr="0037342F" w:rsidRDefault="00EE36C7" w:rsidP="00EE36C7">
      <w:pPr>
        <w:pStyle w:val="Subtitle"/>
        <w:spacing w:line="360" w:lineRule="auto"/>
        <w:contextualSpacing/>
        <w:jc w:val="center"/>
        <w:rPr>
          <w:rFonts w:ascii="Times New Roman" w:eastAsia="Times New Roman" w:hAnsi="Times New Roman" w:cs="Times New Roman"/>
          <w:color w:val="000000" w:themeColor="text1"/>
          <w:sz w:val="24"/>
          <w:szCs w:val="24"/>
        </w:rPr>
      </w:pPr>
      <w:r w:rsidRPr="0037342F">
        <w:rPr>
          <w:rFonts w:ascii="Times New Roman" w:hAnsi="Times New Roman" w:cs="Times New Roman"/>
          <w:sz w:val="24"/>
          <w:szCs w:val="24"/>
        </w:rPr>
        <w:t>Submission by Queen’s University Belfast School of Law</w:t>
      </w:r>
      <w:r w:rsidRPr="0037342F">
        <w:rPr>
          <w:rStyle w:val="FootnoteReference"/>
          <w:rFonts w:ascii="Times New Roman" w:hAnsi="Times New Roman" w:cs="Times New Roman"/>
          <w:sz w:val="24"/>
          <w:szCs w:val="24"/>
        </w:rPr>
        <w:footnoteReference w:id="1"/>
      </w:r>
    </w:p>
    <w:p w14:paraId="0440E3FC" w14:textId="77777777" w:rsidR="00EE36C7" w:rsidRPr="0037342F" w:rsidRDefault="00EE36C7" w:rsidP="00EE36C7">
      <w:pPr>
        <w:autoSpaceDE w:val="0"/>
        <w:autoSpaceDN w:val="0"/>
        <w:adjustRightInd w:val="0"/>
        <w:spacing w:line="360" w:lineRule="auto"/>
        <w:contextualSpacing/>
        <w:jc w:val="both"/>
        <w:rPr>
          <w:rFonts w:ascii="Times New Roman" w:hAnsi="Times New Roman" w:cs="Times New Roman"/>
        </w:rPr>
      </w:pPr>
      <w:r w:rsidRPr="0037342F">
        <w:rPr>
          <w:rFonts w:ascii="Times New Roman" w:hAnsi="Times New Roman" w:cs="Times New Roman"/>
        </w:rPr>
        <w:t>This is a submission to the Department of Justice, in order to assist their review into ‘</w:t>
      </w:r>
      <w:r w:rsidRPr="0037342F">
        <w:rPr>
          <w:rFonts w:ascii="Times New Roman" w:hAnsi="Times New Roman" w:cs="Times New Roman"/>
          <w:i/>
          <w:iCs/>
        </w:rPr>
        <w:t>consent to serious harm for sexual gratification not being a defence’</w:t>
      </w:r>
      <w:r w:rsidRPr="0037342F">
        <w:rPr>
          <w:rFonts w:ascii="Times New Roman" w:hAnsi="Times New Roman" w:cs="Times New Roman"/>
        </w:rPr>
        <w:t xml:space="preserve">. The consultation provides that: </w:t>
      </w:r>
    </w:p>
    <w:p w14:paraId="4876E841" w14:textId="77777777" w:rsidR="00EE36C7" w:rsidRPr="0037342F" w:rsidRDefault="00EE36C7" w:rsidP="00EE36C7">
      <w:pPr>
        <w:ind w:left="720"/>
        <w:contextualSpacing/>
        <w:jc w:val="both"/>
        <w:rPr>
          <w:rFonts w:ascii="Times New Roman" w:eastAsia="Times New Roman" w:hAnsi="Times New Roman" w:cs="Times New Roman"/>
          <w:lang w:eastAsia="en-GB"/>
        </w:rPr>
      </w:pPr>
      <w:r w:rsidRPr="0037342F">
        <w:rPr>
          <w:rFonts w:ascii="Times New Roman" w:eastAsia="Times New Roman" w:hAnsi="Times New Roman" w:cs="Times New Roman"/>
          <w:i/>
          <w:iCs/>
          <w:color w:val="000000"/>
          <w:lang w:eastAsia="en-GB"/>
        </w:rPr>
        <w:t>‘In light of the inclusion of the amendment to the Domestic Abuse Bill in England and Wales, and the increased prevalence of the use of the ‘Rough Sex’ defence, the time is right to have a discussion about the law as it stands in Northern Ireland.</w:t>
      </w:r>
    </w:p>
    <w:p w14:paraId="14B8D7D0" w14:textId="77777777" w:rsidR="00EE36C7" w:rsidRPr="0037342F" w:rsidRDefault="00EE36C7" w:rsidP="00EE36C7">
      <w:pPr>
        <w:autoSpaceDE w:val="0"/>
        <w:autoSpaceDN w:val="0"/>
        <w:adjustRightInd w:val="0"/>
        <w:ind w:left="720"/>
        <w:contextualSpacing/>
        <w:jc w:val="both"/>
        <w:rPr>
          <w:rFonts w:ascii="Times New Roman" w:hAnsi="Times New Roman" w:cs="Times New Roman"/>
        </w:rPr>
      </w:pPr>
    </w:p>
    <w:p w14:paraId="123C0402" w14:textId="77777777" w:rsidR="00EE36C7" w:rsidRPr="0037342F" w:rsidRDefault="00EE36C7" w:rsidP="00EE36C7">
      <w:pPr>
        <w:autoSpaceDE w:val="0"/>
        <w:autoSpaceDN w:val="0"/>
        <w:adjustRightInd w:val="0"/>
        <w:ind w:left="720"/>
        <w:contextualSpacing/>
        <w:jc w:val="both"/>
        <w:rPr>
          <w:rFonts w:ascii="Times New Roman" w:eastAsia="Times New Roman" w:hAnsi="Times New Roman" w:cs="Times New Roman"/>
          <w:i/>
          <w:iCs/>
          <w:color w:val="000000"/>
          <w:bdr w:val="none" w:sz="0" w:space="0" w:color="auto" w:frame="1"/>
          <w:shd w:val="clear" w:color="auto" w:fill="FFFFFF"/>
          <w:lang w:eastAsia="en-GB"/>
        </w:rPr>
      </w:pPr>
      <w:r w:rsidRPr="0037342F">
        <w:rPr>
          <w:rFonts w:ascii="Times New Roman" w:eastAsia="Times New Roman" w:hAnsi="Times New Roman" w:cs="Times New Roman"/>
          <w:i/>
          <w:iCs/>
          <w:color w:val="000000"/>
          <w:bdr w:val="none" w:sz="0" w:space="0" w:color="auto" w:frame="1"/>
          <w:shd w:val="clear" w:color="auto" w:fill="FFFFFF"/>
          <w:lang w:eastAsia="en-GB"/>
        </w:rPr>
        <w:t>We seek your views on whether a change to the law is required and, if so: what the change should be; and whether you think there is a need for a parallel programme of education to address this type of offending at the outset’.</w:t>
      </w:r>
    </w:p>
    <w:p w14:paraId="2372721B" w14:textId="77777777" w:rsidR="00EE36C7" w:rsidRPr="0037342F" w:rsidRDefault="00EE36C7" w:rsidP="00EE36C7">
      <w:pPr>
        <w:autoSpaceDE w:val="0"/>
        <w:autoSpaceDN w:val="0"/>
        <w:adjustRightInd w:val="0"/>
        <w:contextualSpacing/>
        <w:jc w:val="both"/>
        <w:rPr>
          <w:rFonts w:ascii="Times New Roman" w:eastAsia="Times New Roman" w:hAnsi="Times New Roman" w:cs="Times New Roman"/>
          <w:i/>
          <w:iCs/>
          <w:color w:val="000000"/>
          <w:bdr w:val="none" w:sz="0" w:space="0" w:color="auto" w:frame="1"/>
          <w:shd w:val="clear" w:color="auto" w:fill="FFFFFF"/>
          <w:lang w:eastAsia="en-GB"/>
        </w:rPr>
      </w:pPr>
    </w:p>
    <w:p w14:paraId="7890442E" w14:textId="77777777" w:rsidR="00EE36C7" w:rsidRPr="0037342F" w:rsidRDefault="00EE36C7" w:rsidP="00EE36C7">
      <w:pPr>
        <w:autoSpaceDE w:val="0"/>
        <w:autoSpaceDN w:val="0"/>
        <w:adjustRightInd w:val="0"/>
        <w:spacing w:line="360" w:lineRule="auto"/>
        <w:contextualSpacing/>
        <w:jc w:val="both"/>
        <w:rPr>
          <w:rFonts w:ascii="Times New Roman" w:eastAsia="Times New Roman" w:hAnsi="Times New Roman" w:cs="Times New Roman"/>
          <w:b/>
          <w:bCs/>
          <w:color w:val="000000" w:themeColor="text1"/>
        </w:rPr>
      </w:pPr>
      <w:r w:rsidRPr="0037342F">
        <w:rPr>
          <w:rFonts w:ascii="Times New Roman" w:hAnsi="Times New Roman" w:cs="Times New Roman"/>
        </w:rPr>
        <w:t xml:space="preserve">The consultation sets out four specific questions and this submission will address each consultation question in turn. </w:t>
      </w:r>
    </w:p>
    <w:p w14:paraId="519498C3" w14:textId="77777777" w:rsidR="00EE36C7" w:rsidRPr="0037342F" w:rsidRDefault="00EE36C7" w:rsidP="00EE36C7">
      <w:pPr>
        <w:autoSpaceDE w:val="0"/>
        <w:autoSpaceDN w:val="0"/>
        <w:adjustRightInd w:val="0"/>
        <w:spacing w:line="360" w:lineRule="auto"/>
        <w:contextualSpacing/>
        <w:jc w:val="both"/>
        <w:rPr>
          <w:rFonts w:ascii="Times New Roman" w:eastAsia="Times New Roman" w:hAnsi="Times New Roman" w:cs="Times New Roman"/>
          <w:b/>
          <w:bCs/>
          <w:color w:val="000000" w:themeColor="text1"/>
        </w:rPr>
      </w:pPr>
    </w:p>
    <w:p w14:paraId="4CB55B03" w14:textId="77777777" w:rsidR="00EE36C7" w:rsidRPr="0037342F" w:rsidRDefault="00EE36C7" w:rsidP="00524945">
      <w:pPr>
        <w:pStyle w:val="Default"/>
        <w:numPr>
          <w:ilvl w:val="0"/>
          <w:numId w:val="7"/>
        </w:numPr>
        <w:spacing w:after="240" w:line="360" w:lineRule="auto"/>
        <w:ind w:left="426" w:hanging="426"/>
        <w:contextualSpacing/>
        <w:jc w:val="both"/>
        <w:rPr>
          <w:rFonts w:ascii="Times New Roman" w:hAnsi="Times New Roman" w:cs="Times New Roman"/>
          <w:i/>
          <w:iCs/>
        </w:rPr>
      </w:pPr>
      <w:r w:rsidRPr="0037342F">
        <w:rPr>
          <w:rFonts w:ascii="Times New Roman" w:hAnsi="Times New Roman" w:cs="Times New Roman"/>
          <w:b/>
          <w:bCs/>
          <w:i/>
          <w:iCs/>
        </w:rPr>
        <w:t>Do you think the law in Northern Ireland is sufficient as it stands? Please give reasons for your response</w:t>
      </w:r>
      <w:r w:rsidRPr="0037342F">
        <w:rPr>
          <w:rFonts w:ascii="Times New Roman" w:hAnsi="Times New Roman" w:cs="Times New Roman"/>
          <w:i/>
          <w:iCs/>
        </w:rPr>
        <w:t>.</w:t>
      </w:r>
    </w:p>
    <w:p w14:paraId="64716AB0" w14:textId="77777777" w:rsidR="00EE36C7" w:rsidRPr="0037342F" w:rsidRDefault="00EE36C7" w:rsidP="00EE36C7">
      <w:pPr>
        <w:pStyle w:val="Default"/>
        <w:spacing w:after="240" w:line="360" w:lineRule="auto"/>
        <w:contextualSpacing/>
        <w:jc w:val="both"/>
        <w:rPr>
          <w:rFonts w:ascii="Times New Roman" w:hAnsi="Times New Roman" w:cs="Times New Roman"/>
        </w:rPr>
      </w:pPr>
      <w:r w:rsidRPr="0037342F">
        <w:rPr>
          <w:rFonts w:ascii="Times New Roman" w:hAnsi="Times New Roman" w:cs="Times New Roman"/>
        </w:rPr>
        <w:t xml:space="preserve">As stated in the consultation document, while there is no explicit legislation on consent to serious harm for sexual gratification in Northern Ireland, the courts in this jurisdiction are bound by the precedent of </w:t>
      </w:r>
      <w:r w:rsidRPr="0037342F">
        <w:rPr>
          <w:rFonts w:ascii="Times New Roman" w:hAnsi="Times New Roman" w:cs="Times New Roman"/>
          <w:i/>
          <w:iCs/>
        </w:rPr>
        <w:t>R v Brown</w:t>
      </w:r>
      <w:r w:rsidRPr="0037342F">
        <w:rPr>
          <w:rFonts w:ascii="Times New Roman" w:hAnsi="Times New Roman" w:cs="Times New Roman"/>
        </w:rPr>
        <w:t>.</w:t>
      </w:r>
      <w:r>
        <w:rPr>
          <w:rStyle w:val="FootnoteReference"/>
          <w:rFonts w:ascii="Times New Roman" w:hAnsi="Times New Roman" w:cs="Times New Roman"/>
        </w:rPr>
        <w:footnoteReference w:id="2"/>
      </w:r>
      <w:r w:rsidRPr="0037342F">
        <w:rPr>
          <w:rFonts w:ascii="Times New Roman" w:hAnsi="Times New Roman" w:cs="Times New Roman"/>
        </w:rPr>
        <w:t xml:space="preserve"> In this section we provide an introduction to this case and the key legal principles to discern whether continued reliance on this case is appropriate. </w:t>
      </w:r>
    </w:p>
    <w:p w14:paraId="6E16D1A7" w14:textId="77777777" w:rsidR="00EE36C7" w:rsidRPr="0037342F" w:rsidRDefault="00EE36C7" w:rsidP="00EE36C7">
      <w:pPr>
        <w:spacing w:line="360" w:lineRule="auto"/>
        <w:contextualSpacing/>
        <w:jc w:val="both"/>
        <w:rPr>
          <w:rFonts w:ascii="Times New Roman" w:hAnsi="Times New Roman" w:cs="Times New Roman"/>
          <w:b/>
          <w:bCs/>
        </w:rPr>
      </w:pPr>
      <w:r w:rsidRPr="0037342F">
        <w:rPr>
          <w:rFonts w:ascii="Times New Roman" w:hAnsi="Times New Roman" w:cs="Times New Roman"/>
          <w:b/>
          <w:bCs/>
        </w:rPr>
        <w:t>Consent to harm: R</w:t>
      </w:r>
      <w:r w:rsidRPr="0037342F">
        <w:rPr>
          <w:rFonts w:ascii="Times New Roman" w:hAnsi="Times New Roman" w:cs="Times New Roman"/>
          <w:b/>
          <w:bCs/>
          <w:i/>
          <w:iCs/>
        </w:rPr>
        <w:t xml:space="preserve"> v Brown</w:t>
      </w:r>
      <w:r w:rsidRPr="0037342F">
        <w:rPr>
          <w:rFonts w:ascii="Times New Roman" w:hAnsi="Times New Roman" w:cs="Times New Roman"/>
          <w:b/>
          <w:bCs/>
        </w:rPr>
        <w:t xml:space="preserve"> and the search for a legal principle </w:t>
      </w:r>
    </w:p>
    <w:p w14:paraId="7C75ED33" w14:textId="20E1CE72"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 xml:space="preserve">The judgment of the House of Lords in </w:t>
      </w:r>
      <w:r w:rsidRPr="0037342F">
        <w:rPr>
          <w:rFonts w:ascii="Times New Roman" w:hAnsi="Times New Roman" w:cs="Times New Roman"/>
          <w:i/>
          <w:iCs/>
        </w:rPr>
        <w:t>R v Brown</w:t>
      </w:r>
      <w:r w:rsidRPr="0037342F">
        <w:rPr>
          <w:rFonts w:ascii="Times New Roman" w:hAnsi="Times New Roman" w:cs="Times New Roman"/>
        </w:rPr>
        <w:t xml:space="preserve"> forms the basis of the law of consent to assault in Northern Ireland, as elsewh</w:t>
      </w:r>
      <w:r>
        <w:rPr>
          <w:rFonts w:ascii="Times New Roman" w:hAnsi="Times New Roman" w:cs="Times New Roman"/>
        </w:rPr>
        <w:t>ere in the United Kingdom. The d</w:t>
      </w:r>
      <w:r w:rsidRPr="0037342F">
        <w:rPr>
          <w:rFonts w:ascii="Times New Roman" w:hAnsi="Times New Roman" w:cs="Times New Roman"/>
        </w:rPr>
        <w:t xml:space="preserve">efendants in </w:t>
      </w:r>
      <w:r w:rsidRPr="0037342F">
        <w:rPr>
          <w:rFonts w:ascii="Times New Roman" w:hAnsi="Times New Roman" w:cs="Times New Roman"/>
          <w:i/>
          <w:iCs/>
        </w:rPr>
        <w:t>Brown</w:t>
      </w:r>
      <w:r w:rsidRPr="0037342F">
        <w:rPr>
          <w:rFonts w:ascii="Times New Roman" w:hAnsi="Times New Roman" w:cs="Times New Roman"/>
        </w:rPr>
        <w:t xml:space="preserve"> were middle-aged men engagin</w:t>
      </w:r>
      <w:r>
        <w:rPr>
          <w:rFonts w:ascii="Times New Roman" w:hAnsi="Times New Roman" w:cs="Times New Roman"/>
        </w:rPr>
        <w:t>g in consensual sadomasochistic bondage/domination, discipline/submission and sadism/m</w:t>
      </w:r>
      <w:r w:rsidRPr="000B039C">
        <w:rPr>
          <w:rFonts w:ascii="Times New Roman" w:hAnsi="Times New Roman" w:cs="Times New Roman"/>
        </w:rPr>
        <w:t>asochism</w:t>
      </w:r>
      <w:r>
        <w:rPr>
          <w:rFonts w:ascii="Times New Roman" w:hAnsi="Times New Roman" w:cs="Times New Roman"/>
        </w:rPr>
        <w:t xml:space="preserve"> (</w:t>
      </w:r>
      <w:r w:rsidRPr="0037342F">
        <w:rPr>
          <w:rFonts w:ascii="Times New Roman" w:hAnsi="Times New Roman" w:cs="Times New Roman"/>
        </w:rPr>
        <w:t>BDSM</w:t>
      </w:r>
      <w:r>
        <w:rPr>
          <w:rFonts w:ascii="Times New Roman" w:hAnsi="Times New Roman" w:cs="Times New Roman"/>
        </w:rPr>
        <w:t>)</w:t>
      </w:r>
      <w:r w:rsidRPr="0037342F">
        <w:rPr>
          <w:rFonts w:ascii="Times New Roman" w:hAnsi="Times New Roman" w:cs="Times New Roman"/>
        </w:rPr>
        <w:t xml:space="preserve">. </w:t>
      </w:r>
      <w:r>
        <w:rPr>
          <w:rFonts w:ascii="Times New Roman" w:hAnsi="Times New Roman" w:cs="Times New Roman"/>
        </w:rPr>
        <w:t>Injuries were consented to, even positively desired,</w:t>
      </w:r>
      <w:r w:rsidRPr="0037342F">
        <w:rPr>
          <w:rFonts w:ascii="Times New Roman" w:hAnsi="Times New Roman" w:cs="Times New Roman"/>
        </w:rPr>
        <w:t xml:space="preserve"> for the purposes of sexual gratification. In </w:t>
      </w:r>
      <w:r w:rsidRPr="0037342F">
        <w:rPr>
          <w:rFonts w:ascii="Times New Roman" w:hAnsi="Times New Roman" w:cs="Times New Roman"/>
          <w:i/>
          <w:iCs/>
        </w:rPr>
        <w:t>Brown</w:t>
      </w:r>
      <w:r w:rsidRPr="0037342F">
        <w:rPr>
          <w:rFonts w:ascii="Times New Roman" w:hAnsi="Times New Roman" w:cs="Times New Roman"/>
        </w:rPr>
        <w:t xml:space="preserve">, the following point of law required the answer of the court: </w:t>
      </w:r>
    </w:p>
    <w:p w14:paraId="5319AF58" w14:textId="77777777" w:rsidR="00EE36C7" w:rsidRPr="0037342F" w:rsidRDefault="00EE36C7" w:rsidP="00524945">
      <w:pPr>
        <w:ind w:left="850" w:right="850"/>
        <w:contextualSpacing/>
        <w:jc w:val="both"/>
        <w:rPr>
          <w:rFonts w:ascii="Times New Roman" w:hAnsi="Times New Roman" w:cs="Times New Roman"/>
        </w:rPr>
      </w:pPr>
      <w:r w:rsidRPr="0037342F">
        <w:rPr>
          <w:rFonts w:ascii="Times New Roman" w:hAnsi="Times New Roman" w:cs="Times New Roman"/>
        </w:rPr>
        <w:lastRenderedPageBreak/>
        <w:t xml:space="preserve">Where A wounds or assaults B occasioning him actual bodily harm in the course of a sado-masochistic encounter, does the prosecution have to prove lack of consent on the part of B before they can establish A's guilt under section 20 and section 47 of the </w:t>
      </w:r>
      <w:r w:rsidRPr="00182C76">
        <w:rPr>
          <w:rFonts w:ascii="Times New Roman" w:hAnsi="Times New Roman" w:cs="Times New Roman"/>
          <w:i/>
        </w:rPr>
        <w:t>Offences against the Person Act 1861</w:t>
      </w:r>
      <w:r w:rsidRPr="0037342F">
        <w:rPr>
          <w:rFonts w:ascii="Times New Roman" w:hAnsi="Times New Roman" w:cs="Times New Roman"/>
        </w:rPr>
        <w:t>?</w:t>
      </w:r>
      <w:r w:rsidRPr="0037342F">
        <w:rPr>
          <w:rFonts w:ascii="Times New Roman" w:hAnsi="Times New Roman" w:cs="Times New Roman"/>
          <w:vertAlign w:val="superscript"/>
        </w:rPr>
        <w:footnoteReference w:id="3"/>
      </w:r>
    </w:p>
    <w:p w14:paraId="1B689983" w14:textId="77777777" w:rsidR="00EE36C7" w:rsidRPr="0037342F" w:rsidRDefault="00EE36C7" w:rsidP="00EE36C7">
      <w:pPr>
        <w:ind w:left="720"/>
        <w:contextualSpacing/>
        <w:jc w:val="both"/>
        <w:rPr>
          <w:rFonts w:ascii="Times New Roman" w:hAnsi="Times New Roman" w:cs="Times New Roman"/>
        </w:rPr>
      </w:pPr>
    </w:p>
    <w:p w14:paraId="16D60890" w14:textId="6F5B3E55"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The Court answered that question in the negative, with the legal principle emerging from the case that consent cannot be raised as a defence to the infliction of harm above and including actual bodily harm (ABH), unless the activity falls within one of the ‘general exceptions</w:t>
      </w:r>
      <w:r w:rsidR="00517132">
        <w:rPr>
          <w:rFonts w:ascii="Times New Roman" w:hAnsi="Times New Roman" w:cs="Times New Roman"/>
        </w:rPr>
        <w:t>.</w:t>
      </w:r>
      <w:r w:rsidRPr="0037342F">
        <w:rPr>
          <w:rFonts w:ascii="Times New Roman" w:hAnsi="Times New Roman" w:cs="Times New Roman"/>
        </w:rPr>
        <w:t>’</w:t>
      </w:r>
      <w:r>
        <w:rPr>
          <w:rFonts w:ascii="Times New Roman" w:hAnsi="Times New Roman" w:cs="Times New Roman"/>
        </w:rPr>
        <w:t xml:space="preserve"> T</w:t>
      </w:r>
      <w:r w:rsidRPr="0037342F">
        <w:rPr>
          <w:rFonts w:ascii="Times New Roman" w:hAnsi="Times New Roman" w:cs="Times New Roman"/>
        </w:rPr>
        <w:t>hese exceptions not being a closed category</w:t>
      </w:r>
      <w:r>
        <w:rPr>
          <w:rFonts w:ascii="Times New Roman" w:hAnsi="Times New Roman" w:cs="Times New Roman"/>
        </w:rPr>
        <w:t>, rather they can</w:t>
      </w:r>
      <w:r w:rsidRPr="0037342F">
        <w:rPr>
          <w:rFonts w:ascii="Times New Roman" w:hAnsi="Times New Roman" w:cs="Times New Roman"/>
        </w:rPr>
        <w:t xml:space="preserve"> be added to either by Parliament or the common law in line with the shifting attitudes and values of society. The satisfaction of sadomasochistic desires did not constitute such an exception. </w:t>
      </w:r>
    </w:p>
    <w:p w14:paraId="2C134B37" w14:textId="77777777" w:rsidR="00EE36C7" w:rsidRPr="0037342F" w:rsidRDefault="00EE36C7" w:rsidP="00EE36C7">
      <w:pPr>
        <w:spacing w:line="360" w:lineRule="auto"/>
        <w:contextualSpacing/>
        <w:jc w:val="both"/>
        <w:rPr>
          <w:rFonts w:ascii="Times New Roman" w:hAnsi="Times New Roman" w:cs="Times New Roman"/>
        </w:rPr>
      </w:pPr>
    </w:p>
    <w:p w14:paraId="7B393AB8" w14:textId="77777777"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 xml:space="preserve">The decision in </w:t>
      </w:r>
      <w:r w:rsidRPr="0037342F">
        <w:rPr>
          <w:rFonts w:ascii="Times New Roman" w:hAnsi="Times New Roman" w:cs="Times New Roman"/>
          <w:i/>
          <w:iCs/>
        </w:rPr>
        <w:t>Brown</w:t>
      </w:r>
      <w:r w:rsidRPr="0037342F">
        <w:rPr>
          <w:rFonts w:ascii="Times New Roman" w:hAnsi="Times New Roman" w:cs="Times New Roman"/>
        </w:rPr>
        <w:t xml:space="preserve"> was split 3 to 2, with the majority opinion captured by Lord Templeman: </w:t>
      </w:r>
    </w:p>
    <w:p w14:paraId="5D8E9875" w14:textId="77777777" w:rsidR="00EE36C7" w:rsidRPr="0037342F" w:rsidRDefault="00EE36C7" w:rsidP="00524945">
      <w:pPr>
        <w:ind w:left="850" w:right="850"/>
        <w:contextualSpacing/>
        <w:jc w:val="both"/>
        <w:rPr>
          <w:rFonts w:ascii="Times New Roman" w:hAnsi="Times New Roman" w:cs="Times New Roman"/>
          <w:iCs/>
        </w:rPr>
      </w:pPr>
      <w:r w:rsidRPr="0037342F">
        <w:rPr>
          <w:rFonts w:ascii="Times New Roman" w:hAnsi="Times New Roman" w:cs="Times New Roman"/>
          <w:iCs/>
        </w:rPr>
        <w:t>Society is entitled and bound to protect itself against a cult of violence. Pleasure derived from the infliction of pain is an evil thing. Cruelty is uncivilised.</w:t>
      </w:r>
      <w:r w:rsidRPr="0037342F">
        <w:rPr>
          <w:rFonts w:ascii="Times New Roman" w:hAnsi="Times New Roman" w:cs="Times New Roman"/>
          <w:vertAlign w:val="superscript"/>
        </w:rPr>
        <w:t xml:space="preserve"> </w:t>
      </w:r>
      <w:r w:rsidRPr="0037342F">
        <w:rPr>
          <w:rFonts w:ascii="Times New Roman" w:hAnsi="Times New Roman" w:cs="Times New Roman"/>
          <w:vertAlign w:val="superscript"/>
        </w:rPr>
        <w:footnoteReference w:id="4"/>
      </w:r>
    </w:p>
    <w:p w14:paraId="427BA4D5" w14:textId="77777777" w:rsidR="00EE36C7" w:rsidRPr="0037342F" w:rsidRDefault="00EE36C7" w:rsidP="00EE36C7">
      <w:pPr>
        <w:ind w:left="720"/>
        <w:contextualSpacing/>
        <w:jc w:val="both"/>
        <w:rPr>
          <w:rFonts w:ascii="Times New Roman" w:hAnsi="Times New Roman" w:cs="Times New Roman"/>
          <w:iCs/>
        </w:rPr>
      </w:pPr>
    </w:p>
    <w:p w14:paraId="1C6F618A" w14:textId="69B92E38" w:rsidR="00EE36C7" w:rsidRPr="0037342F" w:rsidRDefault="00EE36C7" w:rsidP="00EE36C7">
      <w:pPr>
        <w:spacing w:line="360" w:lineRule="auto"/>
        <w:contextualSpacing/>
        <w:jc w:val="both"/>
        <w:rPr>
          <w:rFonts w:ascii="Times New Roman" w:hAnsi="Times New Roman" w:cs="Times New Roman"/>
          <w:iCs/>
        </w:rPr>
      </w:pPr>
      <w:r w:rsidRPr="0037342F">
        <w:rPr>
          <w:rFonts w:ascii="Times New Roman" w:hAnsi="Times New Roman" w:cs="Times New Roman"/>
          <w:iCs/>
        </w:rPr>
        <w:t xml:space="preserve">In the minority, Lord </w:t>
      </w:r>
      <w:proofErr w:type="spellStart"/>
      <w:r w:rsidRPr="0037342F">
        <w:rPr>
          <w:rFonts w:ascii="Times New Roman" w:hAnsi="Times New Roman" w:cs="Times New Roman"/>
          <w:iCs/>
        </w:rPr>
        <w:t>Mustill</w:t>
      </w:r>
      <w:proofErr w:type="spellEnd"/>
      <w:r w:rsidRPr="0037342F">
        <w:rPr>
          <w:rFonts w:ascii="Times New Roman" w:hAnsi="Times New Roman" w:cs="Times New Roman"/>
          <w:iCs/>
        </w:rPr>
        <w:t xml:space="preserve"> held that the case was not one concerning the law of assault; but the law of sexual relations</w:t>
      </w:r>
      <w:r w:rsidRPr="0037342F">
        <w:rPr>
          <w:rFonts w:ascii="Times New Roman" w:hAnsi="Times New Roman" w:cs="Times New Roman"/>
          <w:iCs/>
          <w:vertAlign w:val="superscript"/>
        </w:rPr>
        <w:footnoteReference w:id="5"/>
      </w:r>
      <w:r>
        <w:rPr>
          <w:rFonts w:ascii="Times New Roman" w:hAnsi="Times New Roman" w:cs="Times New Roman"/>
          <w:iCs/>
        </w:rPr>
        <w:t xml:space="preserve"> -</w:t>
      </w:r>
      <w:r w:rsidRPr="0037342F">
        <w:rPr>
          <w:rFonts w:ascii="Times New Roman" w:hAnsi="Times New Roman" w:cs="Times New Roman"/>
          <w:iCs/>
        </w:rPr>
        <w:t xml:space="preserve"> an area of private morality into which the criminal law should not enter lightly. Herein lies the difficultly with the present law flowing from </w:t>
      </w:r>
      <w:r w:rsidRPr="0037342F">
        <w:rPr>
          <w:rFonts w:ascii="Times New Roman" w:hAnsi="Times New Roman" w:cs="Times New Roman"/>
          <w:i/>
        </w:rPr>
        <w:t>Brown</w:t>
      </w:r>
      <w:r w:rsidRPr="0037342F">
        <w:rPr>
          <w:rFonts w:ascii="Times New Roman" w:hAnsi="Times New Roman" w:cs="Times New Roman"/>
          <w:iCs/>
        </w:rPr>
        <w:t xml:space="preserve"> relating to consent to serious harm for sexual gratification: it can involve both a consideration, on the one hand, of the public good served by consensual private sexual relations and, on the other, that serious harm to the person, even where that is consented to, lacks social value.</w:t>
      </w:r>
      <w:r w:rsidRPr="0037342F">
        <w:rPr>
          <w:rFonts w:ascii="Times New Roman" w:hAnsi="Times New Roman" w:cs="Times New Roman"/>
          <w:iCs/>
          <w:vertAlign w:val="superscript"/>
        </w:rPr>
        <w:footnoteReference w:id="6"/>
      </w:r>
      <w:r w:rsidRPr="0037342F">
        <w:rPr>
          <w:rFonts w:ascii="Times New Roman" w:hAnsi="Times New Roman" w:cs="Times New Roman"/>
          <w:iCs/>
        </w:rPr>
        <w:t xml:space="preserve"> This elision of ideas means that the description of an assault can be given a consensual sexual narrative in a bid to less</w:t>
      </w:r>
      <w:r>
        <w:rPr>
          <w:rFonts w:ascii="Times New Roman" w:hAnsi="Times New Roman" w:cs="Times New Roman"/>
          <w:iCs/>
        </w:rPr>
        <w:t>en the severity of that assault.</w:t>
      </w:r>
      <w:r w:rsidRPr="0037342F">
        <w:rPr>
          <w:rFonts w:ascii="Times New Roman" w:hAnsi="Times New Roman" w:cs="Times New Roman"/>
          <w:iCs/>
        </w:rPr>
        <w:t xml:space="preserve"> </w:t>
      </w:r>
      <w:r>
        <w:rPr>
          <w:rFonts w:ascii="Times New Roman" w:hAnsi="Times New Roman" w:cs="Times New Roman"/>
          <w:iCs/>
        </w:rPr>
        <w:t>F</w:t>
      </w:r>
      <w:r w:rsidRPr="0037342F">
        <w:rPr>
          <w:rFonts w:ascii="Times New Roman" w:hAnsi="Times New Roman" w:cs="Times New Roman"/>
          <w:iCs/>
        </w:rPr>
        <w:t>or example, the so-called ‘Fifty Shades of Grey’</w:t>
      </w:r>
      <w:r w:rsidR="00152608">
        <w:rPr>
          <w:rStyle w:val="FootnoteReference"/>
          <w:rFonts w:ascii="Times New Roman" w:hAnsi="Times New Roman" w:cs="Times New Roman"/>
          <w:iCs/>
        </w:rPr>
        <w:footnoteReference w:id="7"/>
      </w:r>
      <w:r w:rsidRPr="0037342F">
        <w:rPr>
          <w:rFonts w:ascii="Times New Roman" w:hAnsi="Times New Roman" w:cs="Times New Roman"/>
          <w:iCs/>
        </w:rPr>
        <w:t xml:space="preserve"> or ‘rough sex’ defence.</w:t>
      </w:r>
    </w:p>
    <w:p w14:paraId="77FD9CA8" w14:textId="77777777" w:rsidR="00EE36C7" w:rsidRPr="0037342F" w:rsidRDefault="00EE36C7" w:rsidP="00EE36C7">
      <w:pPr>
        <w:spacing w:line="360" w:lineRule="auto"/>
        <w:contextualSpacing/>
        <w:jc w:val="both"/>
        <w:rPr>
          <w:rFonts w:ascii="Times New Roman" w:hAnsi="Times New Roman" w:cs="Times New Roman"/>
          <w:iCs/>
        </w:rPr>
      </w:pPr>
    </w:p>
    <w:p w14:paraId="576FDBB5" w14:textId="50D625EA"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 xml:space="preserve">The parameters of </w:t>
      </w:r>
      <w:r w:rsidRPr="0037342F">
        <w:rPr>
          <w:rFonts w:ascii="Times New Roman" w:hAnsi="Times New Roman" w:cs="Times New Roman"/>
          <w:i/>
          <w:iCs/>
        </w:rPr>
        <w:t>Brown</w:t>
      </w:r>
      <w:r w:rsidRPr="0037342F">
        <w:rPr>
          <w:rFonts w:ascii="Times New Roman" w:hAnsi="Times New Roman" w:cs="Times New Roman"/>
        </w:rPr>
        <w:t xml:space="preserve"> were explored in the case of </w:t>
      </w:r>
      <w:r w:rsidRPr="0037342F">
        <w:rPr>
          <w:rFonts w:ascii="Times New Roman" w:hAnsi="Times New Roman" w:cs="Times New Roman"/>
          <w:i/>
          <w:iCs/>
        </w:rPr>
        <w:t>R v Wilson,</w:t>
      </w:r>
      <w:r w:rsidRPr="00524945">
        <w:rPr>
          <w:rFonts w:ascii="Times New Roman" w:hAnsi="Times New Roman" w:cs="Times New Roman"/>
          <w:vertAlign w:val="superscript"/>
        </w:rPr>
        <w:footnoteReference w:id="8"/>
      </w:r>
      <w:r w:rsidRPr="0037342F">
        <w:rPr>
          <w:rFonts w:ascii="Times New Roman" w:hAnsi="Times New Roman" w:cs="Times New Roman"/>
        </w:rPr>
        <w:t xml:space="preserve"> in which a wife consented to </w:t>
      </w:r>
      <w:r>
        <w:rPr>
          <w:rFonts w:ascii="Times New Roman" w:hAnsi="Times New Roman" w:cs="Times New Roman"/>
        </w:rPr>
        <w:t>her husband (the defendant), using a hot knife to brand his name o</w:t>
      </w:r>
      <w:r w:rsidRPr="0037342F">
        <w:rPr>
          <w:rFonts w:ascii="Times New Roman" w:hAnsi="Times New Roman" w:cs="Times New Roman"/>
        </w:rPr>
        <w:t>n her buttocks</w:t>
      </w:r>
      <w:r>
        <w:rPr>
          <w:rFonts w:ascii="Times New Roman" w:hAnsi="Times New Roman" w:cs="Times New Roman"/>
        </w:rPr>
        <w:t xml:space="preserve">. </w:t>
      </w:r>
      <w:r w:rsidRPr="0037342F">
        <w:rPr>
          <w:rFonts w:ascii="Times New Roman" w:hAnsi="Times New Roman" w:cs="Times New Roman"/>
        </w:rPr>
        <w:t>However, the wounds became infected and a doctor reported the inc</w:t>
      </w:r>
      <w:r>
        <w:rPr>
          <w:rFonts w:ascii="Times New Roman" w:hAnsi="Times New Roman" w:cs="Times New Roman"/>
        </w:rPr>
        <w:t>ident to the police. While the d</w:t>
      </w:r>
      <w:r w:rsidRPr="0037342F">
        <w:rPr>
          <w:rFonts w:ascii="Times New Roman" w:hAnsi="Times New Roman" w:cs="Times New Roman"/>
        </w:rPr>
        <w:t xml:space="preserve">efendant was originally charged with ABH, the charges were later dropped, as the branding, </w:t>
      </w:r>
      <w:r w:rsidRPr="0037342F">
        <w:rPr>
          <w:rFonts w:ascii="Times New Roman" w:hAnsi="Times New Roman" w:cs="Times New Roman"/>
        </w:rPr>
        <w:lastRenderedPageBreak/>
        <w:t xml:space="preserve">it was held, was similar to tattooing. </w:t>
      </w:r>
      <w:r w:rsidRPr="0037342F">
        <w:rPr>
          <w:rFonts w:ascii="Times New Roman" w:hAnsi="Times New Roman" w:cs="Times New Roman"/>
          <w:i/>
          <w:iCs/>
        </w:rPr>
        <w:t>Wilson</w:t>
      </w:r>
      <w:r w:rsidRPr="0037342F">
        <w:rPr>
          <w:rFonts w:ascii="Times New Roman" w:hAnsi="Times New Roman" w:cs="Times New Roman"/>
        </w:rPr>
        <w:t xml:space="preserve"> has been criticised on the grounds that it confirms the prejudice involved in the reasoning in </w:t>
      </w:r>
      <w:r w:rsidRPr="0037342F">
        <w:rPr>
          <w:rFonts w:ascii="Times New Roman" w:hAnsi="Times New Roman" w:cs="Times New Roman"/>
          <w:i/>
          <w:iCs/>
        </w:rPr>
        <w:t>Brown</w:t>
      </w:r>
      <w:r w:rsidRPr="0037342F">
        <w:rPr>
          <w:rFonts w:ascii="Times New Roman" w:hAnsi="Times New Roman" w:cs="Times New Roman"/>
        </w:rPr>
        <w:t xml:space="preserve">. In </w:t>
      </w:r>
      <w:r w:rsidRPr="0037342F">
        <w:rPr>
          <w:rFonts w:ascii="Times New Roman" w:hAnsi="Times New Roman" w:cs="Times New Roman"/>
          <w:i/>
          <w:iCs/>
        </w:rPr>
        <w:t>Brown</w:t>
      </w:r>
      <w:r w:rsidRPr="0037342F">
        <w:rPr>
          <w:rFonts w:ascii="Times New Roman" w:hAnsi="Times New Roman" w:cs="Times New Roman"/>
        </w:rPr>
        <w:t xml:space="preserve">, Lord Lowry stated that he would not allow an exception for ‘[s]ado-masochistic </w:t>
      </w:r>
      <w:r w:rsidRPr="0037342F">
        <w:rPr>
          <w:rFonts w:ascii="Times New Roman" w:hAnsi="Times New Roman" w:cs="Times New Roman"/>
          <w:u w:val="single"/>
        </w:rPr>
        <w:t>homosexual</w:t>
      </w:r>
      <w:r w:rsidRPr="0037342F">
        <w:rPr>
          <w:rFonts w:ascii="Times New Roman" w:hAnsi="Times New Roman" w:cs="Times New Roman"/>
        </w:rPr>
        <w:t xml:space="preserve"> activity</w:t>
      </w:r>
      <w:r w:rsidR="00517132">
        <w:rPr>
          <w:rFonts w:ascii="Times New Roman" w:hAnsi="Times New Roman" w:cs="Times New Roman"/>
        </w:rPr>
        <w:t>,</w:t>
      </w:r>
      <w:r w:rsidRPr="0037342F">
        <w:rPr>
          <w:rFonts w:ascii="Times New Roman" w:hAnsi="Times New Roman" w:cs="Times New Roman"/>
        </w:rPr>
        <w:t>’</w:t>
      </w:r>
      <w:r w:rsidRPr="0037342F">
        <w:rPr>
          <w:rFonts w:ascii="Times New Roman" w:hAnsi="Times New Roman" w:cs="Times New Roman"/>
          <w:vertAlign w:val="superscript"/>
        </w:rPr>
        <w:footnoteReference w:id="9"/>
      </w:r>
      <w:r w:rsidRPr="0037342F">
        <w:rPr>
          <w:rFonts w:ascii="Times New Roman" w:hAnsi="Times New Roman" w:cs="Times New Roman"/>
        </w:rPr>
        <w:t xml:space="preserve"> whereas in </w:t>
      </w:r>
      <w:r w:rsidRPr="0037342F">
        <w:rPr>
          <w:rFonts w:ascii="Times New Roman" w:hAnsi="Times New Roman" w:cs="Times New Roman"/>
          <w:i/>
          <w:iCs/>
        </w:rPr>
        <w:t>Wilson</w:t>
      </w:r>
      <w:r w:rsidRPr="0037342F">
        <w:rPr>
          <w:rFonts w:ascii="Times New Roman" w:hAnsi="Times New Roman" w:cs="Times New Roman"/>
        </w:rPr>
        <w:t xml:space="preserve">, the principle was not deemed applicable because the relationship was that of a married </w:t>
      </w:r>
      <w:r w:rsidRPr="0037342F">
        <w:rPr>
          <w:rFonts w:ascii="Times New Roman" w:hAnsi="Times New Roman" w:cs="Times New Roman"/>
          <w:u w:val="single"/>
        </w:rPr>
        <w:t>heterosexual</w:t>
      </w:r>
      <w:r w:rsidRPr="0037342F">
        <w:rPr>
          <w:rFonts w:ascii="Times New Roman" w:hAnsi="Times New Roman" w:cs="Times New Roman"/>
        </w:rPr>
        <w:t xml:space="preserve"> couple. Irrespective of that view, </w:t>
      </w:r>
      <w:r w:rsidRPr="0037342F">
        <w:rPr>
          <w:rFonts w:ascii="Times New Roman" w:hAnsi="Times New Roman" w:cs="Times New Roman"/>
          <w:i/>
          <w:iCs/>
        </w:rPr>
        <w:t>Wilson</w:t>
      </w:r>
      <w:r w:rsidRPr="0037342F">
        <w:rPr>
          <w:rFonts w:ascii="Times New Roman" w:hAnsi="Times New Roman" w:cs="Times New Roman"/>
        </w:rPr>
        <w:t xml:space="preserve"> shows that the application of </w:t>
      </w:r>
      <w:r w:rsidRPr="0037342F">
        <w:rPr>
          <w:rFonts w:ascii="Times New Roman" w:hAnsi="Times New Roman" w:cs="Times New Roman"/>
          <w:i/>
          <w:iCs/>
        </w:rPr>
        <w:t>Brown</w:t>
      </w:r>
      <w:r w:rsidRPr="0037342F">
        <w:rPr>
          <w:rFonts w:ascii="Times New Roman" w:hAnsi="Times New Roman" w:cs="Times New Roman"/>
        </w:rPr>
        <w:t xml:space="preserve"> is not straightforward, causing problems for the current clarity of the law based on that decision. In </w:t>
      </w:r>
      <w:r w:rsidRPr="0037342F">
        <w:rPr>
          <w:rFonts w:ascii="Times New Roman" w:hAnsi="Times New Roman" w:cs="Times New Roman"/>
          <w:i/>
          <w:iCs/>
        </w:rPr>
        <w:t>Emmett,</w:t>
      </w:r>
      <w:r w:rsidRPr="0037342F">
        <w:rPr>
          <w:rFonts w:ascii="Times New Roman" w:hAnsi="Times New Roman" w:cs="Times New Roman"/>
          <w:vertAlign w:val="superscript"/>
        </w:rPr>
        <w:footnoteReference w:id="10"/>
      </w:r>
      <w:r w:rsidRPr="0037342F">
        <w:rPr>
          <w:rFonts w:ascii="Times New Roman" w:hAnsi="Times New Roman" w:cs="Times New Roman"/>
          <w:i/>
          <w:iCs/>
        </w:rPr>
        <w:t xml:space="preserve"> </w:t>
      </w:r>
      <w:r w:rsidRPr="0037342F">
        <w:rPr>
          <w:rFonts w:ascii="Times New Roman" w:hAnsi="Times New Roman" w:cs="Times New Roman"/>
        </w:rPr>
        <w:t xml:space="preserve">however, the Court held that sadomasochistic activity </w:t>
      </w:r>
      <w:r>
        <w:rPr>
          <w:rFonts w:ascii="Times New Roman" w:hAnsi="Times New Roman" w:cs="Times New Roman"/>
        </w:rPr>
        <w:t xml:space="preserve">between a heterosexual couple, </w:t>
      </w:r>
      <w:r w:rsidRPr="0037342F">
        <w:rPr>
          <w:rFonts w:ascii="Times New Roman" w:hAnsi="Times New Roman" w:cs="Times New Roman"/>
        </w:rPr>
        <w:t>incl</w:t>
      </w:r>
      <w:r>
        <w:rPr>
          <w:rFonts w:ascii="Times New Roman" w:hAnsi="Times New Roman" w:cs="Times New Roman"/>
        </w:rPr>
        <w:t>uding suffocation and burning,</w:t>
      </w:r>
      <w:r w:rsidRPr="0037342F">
        <w:rPr>
          <w:rFonts w:ascii="Times New Roman" w:hAnsi="Times New Roman" w:cs="Times New Roman"/>
        </w:rPr>
        <w:t xml:space="preserve"> was not ex</w:t>
      </w:r>
      <w:r>
        <w:rPr>
          <w:rFonts w:ascii="Times New Roman" w:hAnsi="Times New Roman" w:cs="Times New Roman"/>
        </w:rPr>
        <w:t>empt</w:t>
      </w:r>
      <w:r w:rsidRPr="0037342F">
        <w:rPr>
          <w:rFonts w:ascii="Times New Roman" w:hAnsi="Times New Roman" w:cs="Times New Roman"/>
        </w:rPr>
        <w:t xml:space="preserve"> from the legal principle in </w:t>
      </w:r>
      <w:r w:rsidRPr="0037342F">
        <w:rPr>
          <w:rFonts w:ascii="Times New Roman" w:hAnsi="Times New Roman" w:cs="Times New Roman"/>
          <w:i/>
          <w:iCs/>
        </w:rPr>
        <w:t>Brown</w:t>
      </w:r>
      <w:r>
        <w:rPr>
          <w:rFonts w:ascii="Times New Roman" w:hAnsi="Times New Roman" w:cs="Times New Roman"/>
          <w:i/>
          <w:iCs/>
        </w:rPr>
        <w:t xml:space="preserve"> </w:t>
      </w:r>
      <w:r>
        <w:rPr>
          <w:rFonts w:ascii="Times New Roman" w:hAnsi="Times New Roman" w:cs="Times New Roman"/>
        </w:rPr>
        <w:t>(</w:t>
      </w:r>
      <w:r w:rsidRPr="0037342F">
        <w:rPr>
          <w:rFonts w:ascii="Times New Roman" w:hAnsi="Times New Roman" w:cs="Times New Roman"/>
        </w:rPr>
        <w:t>even when carried out consensually in a domestic relationship</w:t>
      </w:r>
      <w:r>
        <w:rPr>
          <w:rFonts w:ascii="Times New Roman" w:hAnsi="Times New Roman" w:cs="Times New Roman"/>
        </w:rPr>
        <w:t>)</w:t>
      </w:r>
      <w:r w:rsidRPr="0037342F">
        <w:rPr>
          <w:rFonts w:ascii="Times New Roman" w:hAnsi="Times New Roman" w:cs="Times New Roman"/>
        </w:rPr>
        <w:t xml:space="preserve">. </w:t>
      </w:r>
    </w:p>
    <w:p w14:paraId="794C8033" w14:textId="77777777" w:rsidR="00EE36C7" w:rsidRPr="0037342F" w:rsidRDefault="00EE36C7" w:rsidP="00EE36C7">
      <w:pPr>
        <w:spacing w:line="360" w:lineRule="auto"/>
        <w:contextualSpacing/>
        <w:jc w:val="both"/>
        <w:rPr>
          <w:rFonts w:ascii="Times New Roman" w:hAnsi="Times New Roman" w:cs="Times New Roman"/>
        </w:rPr>
      </w:pPr>
    </w:p>
    <w:p w14:paraId="06DF0F61" w14:textId="77777777"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 xml:space="preserve">In </w:t>
      </w:r>
      <w:r w:rsidRPr="0037342F">
        <w:rPr>
          <w:rFonts w:ascii="Times New Roman" w:hAnsi="Times New Roman" w:cs="Times New Roman"/>
          <w:i/>
          <w:iCs/>
        </w:rPr>
        <w:t>R v Slingsby</w:t>
      </w:r>
      <w:r w:rsidRPr="00DD64F8">
        <w:rPr>
          <w:rFonts w:ascii="Times New Roman" w:hAnsi="Times New Roman" w:cs="Times New Roman"/>
          <w:iCs/>
        </w:rPr>
        <w:t>,</w:t>
      </w:r>
      <w:r w:rsidRPr="00DD64F8">
        <w:rPr>
          <w:rFonts w:ascii="Times New Roman" w:hAnsi="Times New Roman" w:cs="Times New Roman"/>
          <w:iCs/>
          <w:vertAlign w:val="superscript"/>
        </w:rPr>
        <w:footnoteReference w:id="11"/>
      </w:r>
      <w:r>
        <w:rPr>
          <w:rFonts w:ascii="Times New Roman" w:hAnsi="Times New Roman" w:cs="Times New Roman"/>
        </w:rPr>
        <w:t xml:space="preserve"> the d</w:t>
      </w:r>
      <w:r w:rsidRPr="0037342F">
        <w:rPr>
          <w:rFonts w:ascii="Times New Roman" w:hAnsi="Times New Roman" w:cs="Times New Roman"/>
        </w:rPr>
        <w:t xml:space="preserve">efendant accidentally cut the victim’s vagina with his signet ring, who then developed septicaemia and later died. In </w:t>
      </w:r>
      <w:r w:rsidRPr="0037342F">
        <w:rPr>
          <w:rFonts w:ascii="Times New Roman" w:hAnsi="Times New Roman" w:cs="Times New Roman"/>
          <w:i/>
          <w:iCs/>
        </w:rPr>
        <w:t>Slingsby</w:t>
      </w:r>
      <w:r w:rsidRPr="0037342F">
        <w:rPr>
          <w:rFonts w:ascii="Times New Roman" w:hAnsi="Times New Roman" w:cs="Times New Roman"/>
        </w:rPr>
        <w:t xml:space="preserve"> there was n</w:t>
      </w:r>
      <w:r>
        <w:rPr>
          <w:rFonts w:ascii="Times New Roman" w:hAnsi="Times New Roman" w:cs="Times New Roman"/>
        </w:rPr>
        <w:t>o intent to cause harm; whereas</w:t>
      </w:r>
      <w:r w:rsidRPr="0037342F">
        <w:rPr>
          <w:rFonts w:ascii="Times New Roman" w:hAnsi="Times New Roman" w:cs="Times New Roman"/>
        </w:rPr>
        <w:t xml:space="preserve"> in </w:t>
      </w:r>
      <w:r w:rsidRPr="0037342F">
        <w:rPr>
          <w:rFonts w:ascii="Times New Roman" w:hAnsi="Times New Roman" w:cs="Times New Roman"/>
          <w:i/>
          <w:iCs/>
        </w:rPr>
        <w:t>Brown</w:t>
      </w:r>
      <w:r w:rsidRPr="0037342F">
        <w:rPr>
          <w:rFonts w:ascii="Times New Roman" w:hAnsi="Times New Roman" w:cs="Times New Roman"/>
        </w:rPr>
        <w:t>, the harm caused was intended and consented to. Part of the case report reads, ‘[t]he deceased sustained her unfortunate injuries as an accidental consequence of the sexual activity which was taking place with her consent</w:t>
      </w:r>
      <w:r>
        <w:rPr>
          <w:rFonts w:ascii="Times New Roman" w:hAnsi="Times New Roman" w:cs="Times New Roman"/>
        </w:rPr>
        <w:t>.</w:t>
      </w:r>
      <w:r w:rsidRPr="0037342F">
        <w:rPr>
          <w:rFonts w:ascii="Times New Roman" w:hAnsi="Times New Roman" w:cs="Times New Roman"/>
        </w:rPr>
        <w:t>’</w:t>
      </w:r>
      <w:r w:rsidRPr="0037342F">
        <w:rPr>
          <w:rFonts w:ascii="Times New Roman" w:hAnsi="Times New Roman" w:cs="Times New Roman"/>
          <w:vertAlign w:val="superscript"/>
        </w:rPr>
        <w:footnoteReference w:id="12"/>
      </w:r>
      <w:r w:rsidRPr="0037342F">
        <w:rPr>
          <w:rFonts w:ascii="Times New Roman" w:hAnsi="Times New Roman" w:cs="Times New Roman"/>
        </w:rPr>
        <w:t xml:space="preserve"> Therefore, </w:t>
      </w:r>
      <w:r w:rsidRPr="0037342F">
        <w:rPr>
          <w:rFonts w:ascii="Times New Roman" w:hAnsi="Times New Roman" w:cs="Times New Roman"/>
          <w:i/>
          <w:iCs/>
        </w:rPr>
        <w:t xml:space="preserve">Slingsby </w:t>
      </w:r>
      <w:r w:rsidRPr="0037342F">
        <w:rPr>
          <w:rFonts w:ascii="Times New Roman" w:hAnsi="Times New Roman" w:cs="Times New Roman"/>
        </w:rPr>
        <w:t xml:space="preserve">distinguishes the legal principle in </w:t>
      </w:r>
      <w:r w:rsidRPr="0037342F">
        <w:rPr>
          <w:rFonts w:ascii="Times New Roman" w:hAnsi="Times New Roman" w:cs="Times New Roman"/>
          <w:i/>
          <w:iCs/>
        </w:rPr>
        <w:t xml:space="preserve">Brown </w:t>
      </w:r>
      <w:r w:rsidRPr="0037342F">
        <w:rPr>
          <w:rFonts w:ascii="Times New Roman" w:hAnsi="Times New Roman" w:cs="Times New Roman"/>
        </w:rPr>
        <w:t>as i</w:t>
      </w:r>
      <w:r>
        <w:rPr>
          <w:rFonts w:ascii="Times New Roman" w:hAnsi="Times New Roman" w:cs="Times New Roman"/>
        </w:rPr>
        <w:t xml:space="preserve">t did not criminalise lawful </w:t>
      </w:r>
      <w:r w:rsidRPr="0037342F">
        <w:rPr>
          <w:rFonts w:ascii="Times New Roman" w:hAnsi="Times New Roman" w:cs="Times New Roman"/>
        </w:rPr>
        <w:t>activity which results in accidental injury. This i</w:t>
      </w:r>
      <w:r>
        <w:rPr>
          <w:rFonts w:ascii="Times New Roman" w:hAnsi="Times New Roman" w:cs="Times New Roman"/>
        </w:rPr>
        <w:t xml:space="preserve">s problematic and apt to confusion. By way of an example, </w:t>
      </w:r>
      <w:r w:rsidRPr="0037342F">
        <w:rPr>
          <w:rFonts w:ascii="Times New Roman" w:hAnsi="Times New Roman" w:cs="Times New Roman"/>
        </w:rPr>
        <w:t>B cannot consent to sexual activity with A where that activity involves the deliberate infliction of serious harm (</w:t>
      </w:r>
      <w:r w:rsidRPr="0037342F">
        <w:rPr>
          <w:rFonts w:ascii="Times New Roman" w:hAnsi="Times New Roman" w:cs="Times New Roman"/>
          <w:i/>
          <w:iCs/>
        </w:rPr>
        <w:t>Brown</w:t>
      </w:r>
      <w:proofErr w:type="gramStart"/>
      <w:r>
        <w:rPr>
          <w:rFonts w:ascii="Times New Roman" w:hAnsi="Times New Roman" w:cs="Times New Roman"/>
        </w:rPr>
        <w:t>)</w:t>
      </w:r>
      <w:proofErr w:type="gramEnd"/>
      <w:r w:rsidRPr="0037342F">
        <w:rPr>
          <w:rFonts w:ascii="Times New Roman" w:hAnsi="Times New Roman" w:cs="Times New Roman"/>
        </w:rPr>
        <w:t xml:space="preserve"> but B can consent to sexual activity that merely carries a risk of such injury (</w:t>
      </w:r>
      <w:r w:rsidRPr="0037342F">
        <w:rPr>
          <w:rFonts w:ascii="Times New Roman" w:hAnsi="Times New Roman" w:cs="Times New Roman"/>
          <w:i/>
          <w:iCs/>
        </w:rPr>
        <w:t>Slingsby</w:t>
      </w:r>
      <w:r>
        <w:rPr>
          <w:rFonts w:ascii="Times New Roman" w:hAnsi="Times New Roman" w:cs="Times New Roman"/>
        </w:rPr>
        <w:t>). I</w:t>
      </w:r>
      <w:r w:rsidRPr="0037342F">
        <w:rPr>
          <w:rFonts w:ascii="Times New Roman" w:hAnsi="Times New Roman" w:cs="Times New Roman"/>
        </w:rPr>
        <w:t xml:space="preserve">n other words, the consensual taking of risks is not criminalised. </w:t>
      </w:r>
    </w:p>
    <w:p w14:paraId="365DB09D" w14:textId="77777777" w:rsidR="00EE36C7" w:rsidRPr="0037342F" w:rsidRDefault="00EE36C7" w:rsidP="00EE36C7">
      <w:pPr>
        <w:spacing w:line="360" w:lineRule="auto"/>
        <w:contextualSpacing/>
        <w:jc w:val="both"/>
        <w:rPr>
          <w:rFonts w:ascii="Times New Roman" w:hAnsi="Times New Roman" w:cs="Times New Roman"/>
        </w:rPr>
      </w:pPr>
    </w:p>
    <w:p w14:paraId="434D4F9A" w14:textId="42795122"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In 2013, Steven Lock was charged and then cleared of ABH to his girlfriend, when he tied her up and whipped her, causing bruising to the buttocks and neck.</w:t>
      </w:r>
      <w:r w:rsidRPr="0037342F">
        <w:rPr>
          <w:rFonts w:ascii="Times New Roman" w:hAnsi="Times New Roman" w:cs="Times New Roman"/>
          <w:vertAlign w:val="superscript"/>
        </w:rPr>
        <w:footnoteReference w:id="13"/>
      </w:r>
      <w:r w:rsidRPr="0037342F">
        <w:rPr>
          <w:rFonts w:ascii="Times New Roman" w:hAnsi="Times New Roman" w:cs="Times New Roman"/>
        </w:rPr>
        <w:t xml:space="preserve"> His girlfriend had consented to being whipped as they had read about it in the popular novel </w:t>
      </w:r>
      <w:r w:rsidRPr="0037342F">
        <w:rPr>
          <w:rFonts w:ascii="Times New Roman" w:hAnsi="Times New Roman" w:cs="Times New Roman"/>
          <w:i/>
          <w:iCs/>
        </w:rPr>
        <w:t xml:space="preserve">50 Shades </w:t>
      </w:r>
      <w:proofErr w:type="gramStart"/>
      <w:r w:rsidRPr="0037342F">
        <w:rPr>
          <w:rFonts w:ascii="Times New Roman" w:hAnsi="Times New Roman" w:cs="Times New Roman"/>
          <w:i/>
          <w:iCs/>
        </w:rPr>
        <w:t>Of</w:t>
      </w:r>
      <w:proofErr w:type="gramEnd"/>
      <w:r w:rsidRPr="0037342F">
        <w:rPr>
          <w:rFonts w:ascii="Times New Roman" w:hAnsi="Times New Roman" w:cs="Times New Roman"/>
          <w:i/>
          <w:iCs/>
        </w:rPr>
        <w:t xml:space="preserve"> Grey</w:t>
      </w:r>
      <w:r w:rsidRPr="0037342F">
        <w:rPr>
          <w:rFonts w:ascii="Times New Roman" w:hAnsi="Times New Roman" w:cs="Times New Roman"/>
        </w:rPr>
        <w:t xml:space="preserve">, and she had even signed a contract. His defence team analogised with the case of </w:t>
      </w:r>
      <w:r w:rsidRPr="0037342F">
        <w:rPr>
          <w:rFonts w:ascii="Times New Roman" w:hAnsi="Times New Roman" w:cs="Times New Roman"/>
          <w:i/>
          <w:iCs/>
        </w:rPr>
        <w:t>R v Barnes,</w:t>
      </w:r>
      <w:r w:rsidRPr="00EE36C7">
        <w:rPr>
          <w:rFonts w:ascii="Times New Roman" w:hAnsi="Times New Roman" w:cs="Times New Roman"/>
          <w:vertAlign w:val="superscript"/>
        </w:rPr>
        <w:footnoteReference w:id="14"/>
      </w:r>
      <w:r w:rsidRPr="0037342F">
        <w:rPr>
          <w:rFonts w:ascii="Times New Roman" w:hAnsi="Times New Roman" w:cs="Times New Roman"/>
        </w:rPr>
        <w:t xml:space="preserve"> where an amateur footballer seriously injured his opponent and was charged with grievous bodily harm (GBH). The charges were dropped as, generally speaking, footballers play knowing of, and therefore consenting to, the risk of injury. Lock claimed that </w:t>
      </w:r>
      <w:r>
        <w:rPr>
          <w:rFonts w:ascii="Times New Roman" w:hAnsi="Times New Roman" w:cs="Times New Roman"/>
        </w:rPr>
        <w:t xml:space="preserve">was </w:t>
      </w:r>
      <w:r w:rsidRPr="0037342F">
        <w:rPr>
          <w:rFonts w:ascii="Times New Roman" w:hAnsi="Times New Roman" w:cs="Times New Roman"/>
        </w:rPr>
        <w:t xml:space="preserve">what happened in </w:t>
      </w:r>
      <w:r w:rsidR="00517132">
        <w:rPr>
          <w:rFonts w:ascii="Times New Roman" w:hAnsi="Times New Roman" w:cs="Times New Roman"/>
        </w:rPr>
        <w:t>t</w:t>
      </w:r>
      <w:r w:rsidRPr="0037342F">
        <w:rPr>
          <w:rFonts w:ascii="Times New Roman" w:hAnsi="Times New Roman" w:cs="Times New Roman"/>
        </w:rPr>
        <w:t xml:space="preserve">his </w:t>
      </w:r>
      <w:r w:rsidRPr="0037342F">
        <w:rPr>
          <w:rFonts w:ascii="Times New Roman" w:hAnsi="Times New Roman" w:cs="Times New Roman"/>
        </w:rPr>
        <w:lastRenderedPageBreak/>
        <w:t>situation</w:t>
      </w:r>
      <w:r>
        <w:rPr>
          <w:rFonts w:ascii="Times New Roman" w:hAnsi="Times New Roman" w:cs="Times New Roman"/>
        </w:rPr>
        <w:t>, and therefore</w:t>
      </w:r>
      <w:r w:rsidRPr="0037342F">
        <w:rPr>
          <w:rFonts w:ascii="Times New Roman" w:hAnsi="Times New Roman" w:cs="Times New Roman"/>
        </w:rPr>
        <w:t xml:space="preserve"> was similar to a ‘mistimed tackle</w:t>
      </w:r>
      <w:r>
        <w:rPr>
          <w:rFonts w:ascii="Times New Roman" w:hAnsi="Times New Roman" w:cs="Times New Roman"/>
        </w:rPr>
        <w:t>.</w:t>
      </w:r>
      <w:r w:rsidRPr="0037342F">
        <w:rPr>
          <w:rFonts w:ascii="Times New Roman" w:hAnsi="Times New Roman" w:cs="Times New Roman"/>
        </w:rPr>
        <w:t>’</w:t>
      </w:r>
      <w:r w:rsidRPr="0037342F">
        <w:rPr>
          <w:rFonts w:ascii="Times New Roman" w:hAnsi="Times New Roman" w:cs="Times New Roman"/>
          <w:vertAlign w:val="superscript"/>
        </w:rPr>
        <w:footnoteReference w:id="15"/>
      </w:r>
      <w:r>
        <w:rPr>
          <w:rFonts w:ascii="Times New Roman" w:hAnsi="Times New Roman" w:cs="Times New Roman"/>
        </w:rPr>
        <w:t xml:space="preserve"> </w:t>
      </w:r>
      <w:r w:rsidRPr="0037342F">
        <w:rPr>
          <w:rFonts w:ascii="Times New Roman" w:hAnsi="Times New Roman" w:cs="Times New Roman"/>
        </w:rPr>
        <w:t xml:space="preserve">Most recently, in </w:t>
      </w:r>
      <w:r w:rsidRPr="0037342F">
        <w:rPr>
          <w:rFonts w:ascii="Times New Roman" w:hAnsi="Times New Roman" w:cs="Times New Roman"/>
          <w:i/>
          <w:iCs/>
        </w:rPr>
        <w:t>R v BM,</w:t>
      </w:r>
      <w:r w:rsidRPr="00EE36C7">
        <w:rPr>
          <w:rFonts w:ascii="Times New Roman" w:hAnsi="Times New Roman" w:cs="Times New Roman"/>
          <w:vertAlign w:val="superscript"/>
        </w:rPr>
        <w:footnoteReference w:id="16"/>
      </w:r>
      <w:r w:rsidRPr="0037342F">
        <w:rPr>
          <w:rFonts w:ascii="Times New Roman" w:hAnsi="Times New Roman" w:cs="Times New Roman"/>
        </w:rPr>
        <w:t xml:space="preserve"> </w:t>
      </w:r>
      <w:r>
        <w:rPr>
          <w:rFonts w:ascii="Times New Roman" w:hAnsi="Times New Roman" w:cs="Times New Roman"/>
        </w:rPr>
        <w:t>t</w:t>
      </w:r>
      <w:r w:rsidRPr="0037342F">
        <w:rPr>
          <w:rFonts w:ascii="Times New Roman" w:hAnsi="Times New Roman" w:cs="Times New Roman"/>
        </w:rPr>
        <w:t xml:space="preserve">he Court of Appeal declined to extend the general exceptions established in </w:t>
      </w:r>
      <w:r w:rsidRPr="0037342F">
        <w:rPr>
          <w:rFonts w:ascii="Times New Roman" w:hAnsi="Times New Roman" w:cs="Times New Roman"/>
          <w:i/>
          <w:iCs/>
        </w:rPr>
        <w:t>Brown</w:t>
      </w:r>
      <w:r w:rsidRPr="0037342F">
        <w:rPr>
          <w:rFonts w:ascii="Times New Roman" w:hAnsi="Times New Roman" w:cs="Times New Roman"/>
        </w:rPr>
        <w:t xml:space="preserve"> to the case of body modification which involved the mutilation of parts of the body</w:t>
      </w:r>
      <w:r>
        <w:rPr>
          <w:rFonts w:ascii="Times New Roman" w:hAnsi="Times New Roman" w:cs="Times New Roman"/>
        </w:rPr>
        <w:t>. However, the discussion of the law at the beginning of this judgement has the potential to cause confusion</w:t>
      </w:r>
      <w:r w:rsidR="00F569FD">
        <w:rPr>
          <w:rFonts w:ascii="Times New Roman" w:hAnsi="Times New Roman" w:cs="Times New Roman"/>
        </w:rPr>
        <w:t>,</w:t>
      </w:r>
      <w:r>
        <w:rPr>
          <w:rFonts w:ascii="Times New Roman" w:hAnsi="Times New Roman" w:cs="Times New Roman"/>
        </w:rPr>
        <w:t xml:space="preserve"> and throws the principle established in</w:t>
      </w:r>
      <w:r w:rsidRPr="00ED3900">
        <w:rPr>
          <w:rFonts w:ascii="Times New Roman" w:hAnsi="Times New Roman" w:cs="Times New Roman"/>
          <w:i/>
          <w:iCs/>
        </w:rPr>
        <w:t xml:space="preserve"> Emmet</w:t>
      </w:r>
      <w:r>
        <w:rPr>
          <w:rFonts w:ascii="Times New Roman" w:hAnsi="Times New Roman" w:cs="Times New Roman"/>
        </w:rPr>
        <w:t xml:space="preserve"> into doubt</w:t>
      </w:r>
      <w:r w:rsidR="00F569FD">
        <w:rPr>
          <w:rFonts w:ascii="Times New Roman" w:hAnsi="Times New Roman" w:cs="Times New Roman"/>
        </w:rPr>
        <w:t>,</w:t>
      </w:r>
      <w:r>
        <w:rPr>
          <w:rFonts w:ascii="Times New Roman" w:hAnsi="Times New Roman" w:cs="Times New Roman"/>
        </w:rPr>
        <w:t xml:space="preserve"> by asserting </w:t>
      </w:r>
      <w:r w:rsidRPr="00D524C7">
        <w:rPr>
          <w:rFonts w:ascii="Times New Roman" w:hAnsi="Times New Roman" w:cs="Times New Roman"/>
        </w:rPr>
        <w:t xml:space="preserve">that </w:t>
      </w:r>
      <w:r>
        <w:rPr>
          <w:rFonts w:ascii="Times New Roman" w:hAnsi="Times New Roman" w:cs="Times New Roman"/>
        </w:rPr>
        <w:t>‘</w:t>
      </w:r>
      <w:r w:rsidRPr="00D524C7">
        <w:rPr>
          <w:rFonts w:ascii="Times New Roman" w:hAnsi="Times New Roman" w:cs="Times New Roman"/>
        </w:rPr>
        <w:t>consensual activity between married couples is not an area for criminal investigation and prosecution under section 47</w:t>
      </w:r>
      <w:r>
        <w:rPr>
          <w:rFonts w:ascii="Times New Roman" w:hAnsi="Times New Roman" w:cs="Times New Roman"/>
        </w:rPr>
        <w:t>.’</w:t>
      </w:r>
      <w:r w:rsidRPr="0037342F">
        <w:rPr>
          <w:rStyle w:val="FootnoteReference"/>
          <w:rFonts w:ascii="Times New Roman" w:hAnsi="Times New Roman" w:cs="Times New Roman"/>
        </w:rPr>
        <w:footnoteReference w:id="17"/>
      </w:r>
    </w:p>
    <w:p w14:paraId="07F39540" w14:textId="77777777" w:rsidR="00EE36C7" w:rsidRPr="0037342F" w:rsidRDefault="00EE36C7" w:rsidP="00EE36C7">
      <w:pPr>
        <w:spacing w:line="360" w:lineRule="auto"/>
        <w:contextualSpacing/>
        <w:jc w:val="both"/>
        <w:rPr>
          <w:rFonts w:ascii="Times New Roman" w:hAnsi="Times New Roman" w:cs="Times New Roman"/>
        </w:rPr>
      </w:pPr>
    </w:p>
    <w:p w14:paraId="26B1649C" w14:textId="77777777" w:rsidR="00EE36C7" w:rsidRPr="0037342F" w:rsidRDefault="00EE36C7" w:rsidP="00EE36C7">
      <w:pPr>
        <w:spacing w:line="360" w:lineRule="auto"/>
        <w:contextualSpacing/>
        <w:jc w:val="both"/>
        <w:rPr>
          <w:rFonts w:ascii="Times New Roman" w:hAnsi="Times New Roman" w:cs="Times New Roman"/>
          <w:b/>
          <w:bCs/>
        </w:rPr>
      </w:pPr>
      <w:r w:rsidRPr="0037342F">
        <w:rPr>
          <w:rFonts w:ascii="Times New Roman" w:hAnsi="Times New Roman" w:cs="Times New Roman"/>
          <w:b/>
          <w:bCs/>
        </w:rPr>
        <w:t xml:space="preserve">Critical Discussion of </w:t>
      </w:r>
      <w:r w:rsidRPr="0037342F">
        <w:rPr>
          <w:rFonts w:ascii="Times New Roman" w:hAnsi="Times New Roman" w:cs="Times New Roman"/>
          <w:b/>
          <w:bCs/>
          <w:i/>
          <w:iCs/>
        </w:rPr>
        <w:t>Brown</w:t>
      </w:r>
    </w:p>
    <w:p w14:paraId="7E6D7C86" w14:textId="6CC9EAA4" w:rsidR="00EE36C7" w:rsidRPr="007A2445" w:rsidRDefault="00EE36C7" w:rsidP="00EE36C7">
      <w:pPr>
        <w:spacing w:line="360" w:lineRule="auto"/>
        <w:jc w:val="both"/>
        <w:rPr>
          <w:rFonts w:ascii="Times New Roman" w:hAnsi="Times New Roman" w:cs="Times New Roman"/>
          <w:color w:val="000000"/>
          <w:shd w:val="clear" w:color="auto" w:fill="FFFFFF"/>
        </w:rPr>
      </w:pPr>
      <w:r w:rsidRPr="0037342F">
        <w:rPr>
          <w:rFonts w:ascii="Times New Roman" w:hAnsi="Times New Roman" w:cs="Times New Roman"/>
        </w:rPr>
        <w:t xml:space="preserve">The case of </w:t>
      </w:r>
      <w:r w:rsidRPr="0037342F">
        <w:rPr>
          <w:rFonts w:ascii="Times New Roman" w:hAnsi="Times New Roman" w:cs="Times New Roman"/>
          <w:i/>
          <w:iCs/>
        </w:rPr>
        <w:t xml:space="preserve">Brown </w:t>
      </w:r>
      <w:r w:rsidRPr="0037342F">
        <w:rPr>
          <w:rFonts w:ascii="Times New Roman" w:hAnsi="Times New Roman" w:cs="Times New Roman"/>
        </w:rPr>
        <w:t xml:space="preserve">and its subsequent application leaves the possibility of consent being raised as a defence to a charge for an offence </w:t>
      </w:r>
      <w:r>
        <w:rPr>
          <w:rFonts w:ascii="Times New Roman" w:hAnsi="Times New Roman" w:cs="Times New Roman"/>
        </w:rPr>
        <w:t>involving serious assault,</w:t>
      </w:r>
      <w:r w:rsidRPr="0037342F">
        <w:rPr>
          <w:rFonts w:ascii="Times New Roman" w:hAnsi="Times New Roman" w:cs="Times New Roman"/>
        </w:rPr>
        <w:t xml:space="preserve"> murder</w:t>
      </w:r>
      <w:r>
        <w:rPr>
          <w:rFonts w:ascii="Times New Roman" w:hAnsi="Times New Roman" w:cs="Times New Roman"/>
        </w:rPr>
        <w:t xml:space="preserve"> and/or </w:t>
      </w:r>
      <w:r w:rsidRPr="0037342F">
        <w:rPr>
          <w:rFonts w:ascii="Times New Roman" w:hAnsi="Times New Roman" w:cs="Times New Roman"/>
        </w:rPr>
        <w:t>manslaughter</w:t>
      </w:r>
      <w:r>
        <w:rPr>
          <w:rFonts w:ascii="Times New Roman" w:hAnsi="Times New Roman" w:cs="Times New Roman"/>
        </w:rPr>
        <w:t xml:space="preserve">. </w:t>
      </w:r>
      <w:r w:rsidRPr="0037342F">
        <w:rPr>
          <w:rFonts w:ascii="Times New Roman" w:hAnsi="Times New Roman" w:cs="Times New Roman"/>
        </w:rPr>
        <w:t>In the context of a domestically abusive relation</w:t>
      </w:r>
      <w:r>
        <w:rPr>
          <w:rFonts w:ascii="Times New Roman" w:hAnsi="Times New Roman" w:cs="Times New Roman"/>
        </w:rPr>
        <w:t>ship</w:t>
      </w:r>
      <w:r w:rsidRPr="0037342F">
        <w:rPr>
          <w:rFonts w:ascii="Times New Roman" w:hAnsi="Times New Roman" w:cs="Times New Roman"/>
        </w:rPr>
        <w:t xml:space="preserve"> this is particularly problematic, as Herring notes, ‘[</w:t>
      </w:r>
      <w:proofErr w:type="spellStart"/>
      <w:r w:rsidRPr="0037342F">
        <w:rPr>
          <w:rFonts w:ascii="Times New Roman" w:hAnsi="Times New Roman" w:cs="Times New Roman"/>
        </w:rPr>
        <w:t>i</w:t>
      </w:r>
      <w:proofErr w:type="spellEnd"/>
      <w:r w:rsidRPr="0037342F">
        <w:rPr>
          <w:rFonts w:ascii="Times New Roman" w:hAnsi="Times New Roman" w:cs="Times New Roman"/>
        </w:rPr>
        <w:t>]n cases where a domestic abuser is charged with assaulting their partner […], explaining the injuries as the results of consensual sadomasochism is one of the few defences available to them</w:t>
      </w:r>
      <w:r w:rsidR="00002E91">
        <w:rPr>
          <w:rFonts w:ascii="Times New Roman" w:hAnsi="Times New Roman" w:cs="Times New Roman"/>
        </w:rPr>
        <w:t xml:space="preserve"> […]</w:t>
      </w:r>
      <w:r>
        <w:rPr>
          <w:rFonts w:ascii="Times New Roman" w:hAnsi="Times New Roman" w:cs="Times New Roman"/>
        </w:rPr>
        <w:t>.</w:t>
      </w:r>
      <w:r w:rsidRPr="0037342F">
        <w:rPr>
          <w:rFonts w:ascii="Times New Roman" w:hAnsi="Times New Roman" w:cs="Times New Roman"/>
        </w:rPr>
        <w:t>’</w:t>
      </w:r>
      <w:r w:rsidR="00002E91">
        <w:rPr>
          <w:rStyle w:val="FootnoteReference"/>
          <w:rFonts w:ascii="Times New Roman" w:hAnsi="Times New Roman" w:cs="Times New Roman"/>
        </w:rPr>
        <w:footnoteReference w:id="18"/>
      </w:r>
      <w:r w:rsidRPr="0037342F">
        <w:rPr>
          <w:rFonts w:ascii="Times New Roman" w:hAnsi="Times New Roman" w:cs="Times New Roman"/>
        </w:rPr>
        <w:t xml:space="preserve"> </w:t>
      </w:r>
      <w:r>
        <w:rPr>
          <w:rFonts w:ascii="Times New Roman" w:hAnsi="Times New Roman" w:cs="Times New Roman"/>
        </w:rPr>
        <w:t>Indeed, there is a</w:t>
      </w:r>
      <w:r w:rsidRPr="0037342F">
        <w:rPr>
          <w:rFonts w:ascii="Times New Roman" w:hAnsi="Times New Roman" w:cs="Times New Roman"/>
          <w:lang w:val="en-US"/>
        </w:rPr>
        <w:t xml:space="preserve"> growing problem of men using the alleged consent of their victims to </w:t>
      </w:r>
      <w:r>
        <w:rPr>
          <w:rFonts w:ascii="Times New Roman" w:hAnsi="Times New Roman" w:cs="Times New Roman"/>
          <w:lang w:val="en-US"/>
        </w:rPr>
        <w:t>‘</w:t>
      </w:r>
      <w:r w:rsidRPr="0037342F">
        <w:rPr>
          <w:rFonts w:ascii="Times New Roman" w:hAnsi="Times New Roman" w:cs="Times New Roman"/>
          <w:lang w:val="en-US"/>
        </w:rPr>
        <w:t>rough sex</w:t>
      </w:r>
      <w:r>
        <w:rPr>
          <w:rFonts w:ascii="Times New Roman" w:hAnsi="Times New Roman" w:cs="Times New Roman"/>
          <w:lang w:val="en-US"/>
        </w:rPr>
        <w:t xml:space="preserve">’ </w:t>
      </w:r>
      <w:r w:rsidRPr="0037342F">
        <w:rPr>
          <w:rFonts w:ascii="Times New Roman" w:hAnsi="Times New Roman" w:cs="Times New Roman"/>
          <w:lang w:val="en-US"/>
        </w:rPr>
        <w:t xml:space="preserve">as a way to diminish or defend against charges of serious harm or murder. Activist groups such as ‘We Can Not Consent to This’ </w:t>
      </w:r>
      <w:r>
        <w:rPr>
          <w:rFonts w:ascii="Times New Roman" w:hAnsi="Times New Roman" w:cs="Times New Roman"/>
          <w:lang w:val="en-US"/>
        </w:rPr>
        <w:t xml:space="preserve">(WCCTT) </w:t>
      </w:r>
      <w:r w:rsidRPr="0037342F">
        <w:rPr>
          <w:rFonts w:ascii="Times New Roman" w:hAnsi="Times New Roman" w:cs="Times New Roman"/>
          <w:lang w:val="en-US"/>
        </w:rPr>
        <w:t>as well as news coverage of recent cases</w:t>
      </w:r>
      <w:r w:rsidRPr="0037342F">
        <w:rPr>
          <w:rStyle w:val="FootnoteReference"/>
          <w:rFonts w:ascii="Times New Roman" w:hAnsi="Times New Roman" w:cs="Times New Roman"/>
          <w:lang w:val="en-US"/>
        </w:rPr>
        <w:footnoteReference w:id="19"/>
      </w:r>
      <w:r w:rsidRPr="0037342F">
        <w:rPr>
          <w:rFonts w:ascii="Times New Roman" w:hAnsi="Times New Roman" w:cs="Times New Roman"/>
          <w:lang w:val="en-US"/>
        </w:rPr>
        <w:t xml:space="preserve"> has focused attention on the extent and nature of the problem.</w:t>
      </w:r>
      <w:r w:rsidRPr="0037342F">
        <w:rPr>
          <w:rStyle w:val="FootnoteReference"/>
          <w:rFonts w:ascii="Times New Roman" w:hAnsi="Times New Roman" w:cs="Times New Roman"/>
          <w:lang w:val="en-US"/>
        </w:rPr>
        <w:footnoteReference w:id="20"/>
      </w:r>
      <w:r>
        <w:rPr>
          <w:rFonts w:ascii="Times New Roman" w:hAnsi="Times New Roman" w:cs="Times New Roman"/>
          <w:lang w:val="en-US"/>
        </w:rPr>
        <w:t xml:space="preserve"> WCCT</w:t>
      </w:r>
      <w:r w:rsidRPr="0037342F">
        <w:rPr>
          <w:rFonts w:ascii="Times New Roman" w:hAnsi="Times New Roman" w:cs="Times New Roman"/>
          <w:lang w:val="en-US"/>
        </w:rPr>
        <w:t xml:space="preserve">T research indicates that </w:t>
      </w:r>
      <w:r>
        <w:rPr>
          <w:rStyle w:val="normaltextrun"/>
          <w:rFonts w:ascii="Times New Roman" w:hAnsi="Times New Roman" w:cs="Times New Roman"/>
          <w:color w:val="000000"/>
          <w:shd w:val="clear" w:color="auto" w:fill="FFFFFF"/>
        </w:rPr>
        <w:t>between 1972-</w:t>
      </w:r>
      <w:r w:rsidRPr="0037342F">
        <w:rPr>
          <w:rStyle w:val="normaltextrun"/>
          <w:rFonts w:ascii="Times New Roman" w:hAnsi="Times New Roman" w:cs="Times New Roman"/>
          <w:color w:val="000000"/>
          <w:shd w:val="clear" w:color="auto" w:fill="FFFFFF"/>
        </w:rPr>
        <w:t xml:space="preserve">2019, there have been 60 cases of so-called </w:t>
      </w:r>
      <w:r>
        <w:rPr>
          <w:rStyle w:val="normaltextrun"/>
          <w:rFonts w:ascii="Times New Roman" w:hAnsi="Times New Roman" w:cs="Times New Roman"/>
          <w:color w:val="000000"/>
          <w:shd w:val="clear" w:color="auto" w:fill="FFFFFF"/>
        </w:rPr>
        <w:t>‘</w:t>
      </w:r>
      <w:r w:rsidRPr="0037342F">
        <w:rPr>
          <w:rStyle w:val="normaltextrun"/>
          <w:rFonts w:ascii="Times New Roman" w:hAnsi="Times New Roman" w:cs="Times New Roman"/>
          <w:color w:val="000000"/>
          <w:shd w:val="clear" w:color="auto" w:fill="FFFFFF"/>
        </w:rPr>
        <w:t>sex game gone wrong</w:t>
      </w:r>
      <w:r>
        <w:rPr>
          <w:rStyle w:val="normaltextrun"/>
          <w:rFonts w:ascii="Times New Roman" w:hAnsi="Times New Roman" w:cs="Times New Roman"/>
          <w:color w:val="000000"/>
          <w:shd w:val="clear" w:color="auto" w:fill="FFFFFF"/>
        </w:rPr>
        <w:t xml:space="preserve">’ </w:t>
      </w:r>
      <w:r w:rsidRPr="0037342F">
        <w:rPr>
          <w:rStyle w:val="normaltextrun"/>
          <w:rFonts w:ascii="Times New Roman" w:hAnsi="Times New Roman" w:cs="Times New Roman"/>
          <w:color w:val="000000"/>
          <w:shd w:val="clear" w:color="auto" w:fill="FFFFFF"/>
        </w:rPr>
        <w:t>killings perpetrated by men against their intimate female partners. Academic research also indicates the scale of the problem</w:t>
      </w:r>
      <w:r w:rsidRPr="0037342F">
        <w:rPr>
          <w:rStyle w:val="FootnoteReference"/>
          <w:rFonts w:ascii="Times New Roman" w:hAnsi="Times New Roman" w:cs="Times New Roman"/>
          <w:color w:val="000000"/>
          <w:shd w:val="clear" w:color="auto" w:fill="FFFFFF"/>
        </w:rPr>
        <w:footnoteReference w:id="21"/>
      </w:r>
      <w:r w:rsidRPr="0037342F">
        <w:rPr>
          <w:rStyle w:val="normaltextrun"/>
          <w:rFonts w:ascii="Times New Roman" w:hAnsi="Times New Roman" w:cs="Times New Roman"/>
          <w:color w:val="000000"/>
          <w:shd w:val="clear" w:color="auto" w:fill="FFFFFF"/>
        </w:rPr>
        <w:t xml:space="preserve"> and the need to seriously address legal ‘loopholes’ in order to </w:t>
      </w:r>
      <w:r>
        <w:rPr>
          <w:rStyle w:val="normaltextrun"/>
          <w:rFonts w:ascii="Times New Roman" w:hAnsi="Times New Roman" w:cs="Times New Roman"/>
          <w:color w:val="000000"/>
          <w:shd w:val="clear" w:color="auto" w:fill="FFFFFF"/>
        </w:rPr>
        <w:t>‘</w:t>
      </w:r>
      <w:r w:rsidRPr="0037342F">
        <w:rPr>
          <w:rStyle w:val="normaltextrun"/>
          <w:rFonts w:ascii="Times New Roman" w:hAnsi="Times New Roman" w:cs="Times New Roman"/>
          <w:color w:val="000000"/>
          <w:shd w:val="clear" w:color="auto" w:fill="FFFFFF"/>
        </w:rPr>
        <w:t>shut down this misogyny</w:t>
      </w:r>
      <w:r>
        <w:rPr>
          <w:rStyle w:val="normaltextrun"/>
          <w:rFonts w:ascii="Times New Roman" w:hAnsi="Times New Roman" w:cs="Times New Roman"/>
          <w:color w:val="000000"/>
          <w:shd w:val="clear" w:color="auto" w:fill="FFFFFF"/>
        </w:rPr>
        <w:t>.’</w:t>
      </w:r>
      <w:r w:rsidRPr="0037342F">
        <w:rPr>
          <w:rStyle w:val="FootnoteReference"/>
          <w:rFonts w:ascii="Times New Roman" w:hAnsi="Times New Roman" w:cs="Times New Roman"/>
          <w:color w:val="000000"/>
          <w:shd w:val="clear" w:color="auto" w:fill="FFFFFF"/>
        </w:rPr>
        <w:footnoteReference w:id="22"/>
      </w:r>
      <w:r w:rsidRPr="0037342F">
        <w:rPr>
          <w:rStyle w:val="normaltextrun"/>
          <w:rFonts w:ascii="Times New Roman" w:hAnsi="Times New Roman" w:cs="Times New Roman"/>
          <w:color w:val="000000"/>
          <w:shd w:val="clear" w:color="auto" w:fill="FFFFFF"/>
        </w:rPr>
        <w:t xml:space="preserve"> </w:t>
      </w:r>
    </w:p>
    <w:p w14:paraId="494F284D" w14:textId="77777777" w:rsidR="00EE36C7" w:rsidRPr="0037342F" w:rsidRDefault="00EE36C7" w:rsidP="00EE36C7">
      <w:pPr>
        <w:spacing w:line="360" w:lineRule="auto"/>
        <w:contextualSpacing/>
        <w:jc w:val="both"/>
        <w:rPr>
          <w:rFonts w:ascii="Times New Roman" w:hAnsi="Times New Roman" w:cs="Times New Roman"/>
        </w:rPr>
      </w:pPr>
    </w:p>
    <w:p w14:paraId="7CC9E31E" w14:textId="77777777"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lastRenderedPageBreak/>
        <w:t>Take for example the recent and horrific case of</w:t>
      </w:r>
      <w:r>
        <w:rPr>
          <w:rFonts w:ascii="Times New Roman" w:hAnsi="Times New Roman" w:cs="Times New Roman"/>
        </w:rPr>
        <w:t xml:space="preserve"> Natalie Connolly. Ms Connolly (</w:t>
      </w:r>
      <w:r w:rsidRPr="0037342F">
        <w:rPr>
          <w:rFonts w:ascii="Times New Roman" w:hAnsi="Times New Roman" w:cs="Times New Roman"/>
        </w:rPr>
        <w:t>26</w:t>
      </w:r>
      <w:r>
        <w:rPr>
          <w:rFonts w:ascii="Times New Roman" w:hAnsi="Times New Roman" w:cs="Times New Roman"/>
        </w:rPr>
        <w:t>)</w:t>
      </w:r>
      <w:r w:rsidRPr="0037342F">
        <w:rPr>
          <w:rFonts w:ascii="Times New Roman" w:hAnsi="Times New Roman" w:cs="Times New Roman"/>
        </w:rPr>
        <w:t>, died with over 40 injuries, including extensive bruising to the breasts, buttocks and head, a blow-out fracture of the left orbit, and vaginal venous and arterial haemorrhaging.</w:t>
      </w:r>
      <w:r w:rsidRPr="0037342F">
        <w:rPr>
          <w:rFonts w:ascii="Times New Roman" w:hAnsi="Times New Roman" w:cs="Times New Roman"/>
          <w:vertAlign w:val="superscript"/>
        </w:rPr>
        <w:footnoteReference w:id="23"/>
      </w:r>
      <w:r w:rsidRPr="0037342F">
        <w:rPr>
          <w:rFonts w:ascii="Times New Roman" w:hAnsi="Times New Roman" w:cs="Times New Roman"/>
        </w:rPr>
        <w:t xml:space="preserve"> John Broadhurst was charged with her murder; but the prosecution accepted his plea of guilty to gross negligence manslaughter. The case also highlights questionable charging/prosecution practices (which may well arise from the confusing state of the law), as it was not the case of the prosecution that </w:t>
      </w:r>
      <w:r w:rsidRPr="0037342F">
        <w:rPr>
          <w:rFonts w:ascii="Times New Roman" w:hAnsi="Times New Roman" w:cs="Times New Roman"/>
          <w:u w:val="single"/>
        </w:rPr>
        <w:t>any</w:t>
      </w:r>
      <w:r w:rsidRPr="0037342F">
        <w:rPr>
          <w:rFonts w:ascii="Times New Roman" w:hAnsi="Times New Roman" w:cs="Times New Roman"/>
        </w:rPr>
        <w:t xml:space="preserve"> of the injuries inflicted by Broadhurst on Connolly were unlawful;</w:t>
      </w:r>
      <w:r w:rsidRPr="0037342F">
        <w:rPr>
          <w:rFonts w:ascii="Times New Roman" w:hAnsi="Times New Roman" w:cs="Times New Roman"/>
          <w:vertAlign w:val="superscript"/>
        </w:rPr>
        <w:footnoteReference w:id="24"/>
      </w:r>
      <w:r w:rsidRPr="0037342F">
        <w:rPr>
          <w:rFonts w:ascii="Times New Roman" w:hAnsi="Times New Roman" w:cs="Times New Roman"/>
        </w:rPr>
        <w:t xml:space="preserve"> despite the sentencing judge finding that some were criminally inflicted. </w:t>
      </w:r>
      <w:r w:rsidRPr="0037342F">
        <w:rPr>
          <w:rFonts w:ascii="Times New Roman" w:hAnsi="Times New Roman" w:cs="Times New Roman"/>
          <w:i/>
          <w:iCs/>
        </w:rPr>
        <w:t>Brown</w:t>
      </w:r>
      <w:r w:rsidRPr="0037342F">
        <w:rPr>
          <w:rFonts w:ascii="Times New Roman" w:hAnsi="Times New Roman" w:cs="Times New Roman"/>
        </w:rPr>
        <w:t xml:space="preserve"> applied to some injuries but not others.</w:t>
      </w:r>
      <w:r>
        <w:rPr>
          <w:rStyle w:val="FootnoteReference"/>
          <w:rFonts w:ascii="Times New Roman" w:hAnsi="Times New Roman" w:cs="Times New Roman"/>
        </w:rPr>
        <w:footnoteReference w:id="25"/>
      </w:r>
      <w:r>
        <w:rPr>
          <w:rFonts w:ascii="Times New Roman" w:hAnsi="Times New Roman" w:cs="Times New Roman"/>
        </w:rPr>
        <w:t xml:space="preserve"> Indeed</w:t>
      </w:r>
      <w:r w:rsidRPr="0037342F">
        <w:rPr>
          <w:rFonts w:ascii="Times New Roman" w:hAnsi="Times New Roman" w:cs="Times New Roman"/>
        </w:rPr>
        <w:t xml:space="preserve">, the insertion of a bottle of spray carpet cleaner into the vagina was not held to be unlawful. The judge accepted in favour of Broadhurst that Connolly had instigated this extreme request (confirming the difficulties mentioned above with this line of defence where the victim cannot give evidence) and rehearsed the law in this area, citing </w:t>
      </w:r>
      <w:r w:rsidRPr="0037342F">
        <w:rPr>
          <w:rFonts w:ascii="Times New Roman" w:hAnsi="Times New Roman" w:cs="Times New Roman"/>
          <w:i/>
          <w:iCs/>
        </w:rPr>
        <w:t>Slingsby</w:t>
      </w:r>
      <w:r w:rsidRPr="0037342F">
        <w:rPr>
          <w:rFonts w:ascii="Times New Roman" w:hAnsi="Times New Roman" w:cs="Times New Roman"/>
        </w:rPr>
        <w:t xml:space="preserve"> as follows: </w:t>
      </w:r>
    </w:p>
    <w:p w14:paraId="681AEB3C" w14:textId="77777777" w:rsidR="00EE36C7" w:rsidRPr="0037342F" w:rsidRDefault="00EE36C7" w:rsidP="00524945">
      <w:pPr>
        <w:ind w:left="850" w:right="850"/>
        <w:contextualSpacing/>
        <w:jc w:val="both"/>
        <w:rPr>
          <w:rFonts w:ascii="Times New Roman" w:hAnsi="Times New Roman" w:cs="Times New Roman"/>
        </w:rPr>
      </w:pPr>
      <w:r w:rsidRPr="0037342F">
        <w:rPr>
          <w:rFonts w:ascii="Times New Roman" w:hAnsi="Times New Roman" w:cs="Times New Roman"/>
        </w:rPr>
        <w:t>A woman may lawfully consent to having something inserted into her vagina (or rectum) for the purposes of sexual gratification but without an intention to cause injury, even if doing so carries a risk of injury, and injury is indeed caused.</w:t>
      </w:r>
      <w:r w:rsidRPr="0037342F">
        <w:rPr>
          <w:rFonts w:ascii="Times New Roman" w:hAnsi="Times New Roman" w:cs="Times New Roman"/>
          <w:vertAlign w:val="superscript"/>
        </w:rPr>
        <w:footnoteReference w:id="26"/>
      </w:r>
      <w:r w:rsidRPr="0037342F">
        <w:rPr>
          <w:rFonts w:ascii="Times New Roman" w:hAnsi="Times New Roman" w:cs="Times New Roman"/>
        </w:rPr>
        <w:t xml:space="preserve"> </w:t>
      </w:r>
    </w:p>
    <w:p w14:paraId="6BBF4804" w14:textId="77777777" w:rsidR="00EE36C7" w:rsidRPr="0037342F" w:rsidRDefault="00EE36C7" w:rsidP="00EE36C7">
      <w:pPr>
        <w:ind w:left="720"/>
        <w:contextualSpacing/>
        <w:jc w:val="both"/>
        <w:rPr>
          <w:rFonts w:ascii="Times New Roman" w:hAnsi="Times New Roman" w:cs="Times New Roman"/>
        </w:rPr>
      </w:pPr>
    </w:p>
    <w:p w14:paraId="243ABEE3" w14:textId="62459803"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 xml:space="preserve">Here, it can be seen in practice how distinguishing </w:t>
      </w:r>
      <w:r w:rsidRPr="0037342F">
        <w:rPr>
          <w:rFonts w:ascii="Times New Roman" w:hAnsi="Times New Roman" w:cs="Times New Roman"/>
          <w:i/>
          <w:iCs/>
        </w:rPr>
        <w:t xml:space="preserve">Slingsby </w:t>
      </w:r>
      <w:r w:rsidRPr="0037342F">
        <w:rPr>
          <w:rFonts w:ascii="Times New Roman" w:hAnsi="Times New Roman" w:cs="Times New Roman"/>
        </w:rPr>
        <w:t xml:space="preserve">from </w:t>
      </w:r>
      <w:r w:rsidRPr="0037342F">
        <w:rPr>
          <w:rFonts w:ascii="Times New Roman" w:hAnsi="Times New Roman" w:cs="Times New Roman"/>
          <w:i/>
          <w:iCs/>
        </w:rPr>
        <w:t xml:space="preserve">Brown </w:t>
      </w:r>
      <w:r>
        <w:rPr>
          <w:rFonts w:ascii="Times New Roman" w:hAnsi="Times New Roman" w:cs="Times New Roman"/>
        </w:rPr>
        <w:t xml:space="preserve">carries with </w:t>
      </w:r>
      <w:proofErr w:type="gramStart"/>
      <w:r>
        <w:rPr>
          <w:rFonts w:ascii="Times New Roman" w:hAnsi="Times New Roman" w:cs="Times New Roman"/>
        </w:rPr>
        <w:t>it</w:t>
      </w:r>
      <w:proofErr w:type="gramEnd"/>
      <w:r>
        <w:rPr>
          <w:rFonts w:ascii="Times New Roman" w:hAnsi="Times New Roman" w:cs="Times New Roman"/>
        </w:rPr>
        <w:t xml:space="preserve"> problems.</w:t>
      </w:r>
      <w:r w:rsidRPr="0037342F">
        <w:rPr>
          <w:rFonts w:ascii="Times New Roman" w:hAnsi="Times New Roman" w:cs="Times New Roman"/>
        </w:rPr>
        <w:t xml:space="preserve"> Broadhurst’s beating of Connolly so as to cause bruising on her buttocks and breasts was unlawful, applying </w:t>
      </w:r>
      <w:r w:rsidRPr="0037342F">
        <w:rPr>
          <w:rFonts w:ascii="Times New Roman" w:hAnsi="Times New Roman" w:cs="Times New Roman"/>
          <w:i/>
          <w:iCs/>
        </w:rPr>
        <w:t>Brown</w:t>
      </w:r>
      <w:r w:rsidRPr="0037342F">
        <w:rPr>
          <w:rFonts w:ascii="Times New Roman" w:hAnsi="Times New Roman" w:cs="Times New Roman"/>
        </w:rPr>
        <w:t>, even with her consent. Yet, his ‘grossly irresponsible behaviour’</w:t>
      </w:r>
      <w:r w:rsidRPr="0037342F">
        <w:rPr>
          <w:rFonts w:ascii="Times New Roman" w:hAnsi="Times New Roman" w:cs="Times New Roman"/>
          <w:vertAlign w:val="superscript"/>
        </w:rPr>
        <w:footnoteReference w:id="27"/>
      </w:r>
      <w:r w:rsidRPr="0037342F">
        <w:rPr>
          <w:rFonts w:ascii="Times New Roman" w:hAnsi="Times New Roman" w:cs="Times New Roman"/>
        </w:rPr>
        <w:t xml:space="preserve"> of inserting the bottle into her vagina was not unlawful, despite the risk of serious injury that it surely carried (and did in fact inflict). If legal commentators find this difference baffling,</w:t>
      </w:r>
      <w:r w:rsidRPr="0037342F">
        <w:rPr>
          <w:rFonts w:ascii="Times New Roman" w:hAnsi="Times New Roman" w:cs="Times New Roman"/>
          <w:vertAlign w:val="superscript"/>
        </w:rPr>
        <w:footnoteReference w:id="28"/>
      </w:r>
      <w:r w:rsidRPr="0037342F">
        <w:rPr>
          <w:rFonts w:ascii="Times New Roman" w:hAnsi="Times New Roman" w:cs="Times New Roman"/>
        </w:rPr>
        <w:t xml:space="preserve"> </w:t>
      </w:r>
      <w:r w:rsidR="00F569FD">
        <w:rPr>
          <w:rFonts w:ascii="Times New Roman" w:hAnsi="Times New Roman" w:cs="Times New Roman"/>
        </w:rPr>
        <w:t>it is sure to cause difficulties in the jury room</w:t>
      </w:r>
      <w:r w:rsidRPr="0037342F">
        <w:rPr>
          <w:rFonts w:ascii="Times New Roman" w:hAnsi="Times New Roman" w:cs="Times New Roman"/>
        </w:rPr>
        <w:t>. The key point then is that the dividing line between the two cases</w:t>
      </w:r>
      <w:r>
        <w:rPr>
          <w:rStyle w:val="FootnoteReference"/>
          <w:rFonts w:ascii="Times New Roman" w:hAnsi="Times New Roman" w:cs="Times New Roman"/>
        </w:rPr>
        <w:footnoteReference w:id="29"/>
      </w:r>
      <w:r w:rsidRPr="0037342F">
        <w:rPr>
          <w:rFonts w:ascii="Times New Roman" w:hAnsi="Times New Roman" w:cs="Times New Roman"/>
        </w:rPr>
        <w:t xml:space="preserve"> appears to be so porous as to make the task of reframing a case </w:t>
      </w:r>
      <w:r w:rsidRPr="0037342F">
        <w:rPr>
          <w:rFonts w:ascii="Times New Roman" w:hAnsi="Times New Roman" w:cs="Times New Roman"/>
        </w:rPr>
        <w:lastRenderedPageBreak/>
        <w:t>which really concerns assault into one about ‘sex games gone wrong’</w:t>
      </w:r>
      <w:r w:rsidRPr="0037342F">
        <w:rPr>
          <w:rFonts w:ascii="Times New Roman" w:hAnsi="Times New Roman" w:cs="Times New Roman"/>
          <w:vertAlign w:val="superscript"/>
        </w:rPr>
        <w:footnoteReference w:id="30"/>
      </w:r>
      <w:r w:rsidRPr="0037342F">
        <w:rPr>
          <w:rFonts w:ascii="Times New Roman" w:hAnsi="Times New Roman" w:cs="Times New Roman"/>
        </w:rPr>
        <w:t xml:space="preserve"> a relatively straightforward one.  </w:t>
      </w:r>
    </w:p>
    <w:p w14:paraId="7CB9C0A2" w14:textId="77777777" w:rsidR="00EE36C7" w:rsidRPr="0037342F" w:rsidRDefault="00EE36C7" w:rsidP="00EE36C7">
      <w:pPr>
        <w:spacing w:line="360" w:lineRule="auto"/>
        <w:contextualSpacing/>
        <w:jc w:val="both"/>
        <w:rPr>
          <w:rFonts w:ascii="Times New Roman" w:hAnsi="Times New Roman" w:cs="Times New Roman"/>
        </w:rPr>
      </w:pPr>
    </w:p>
    <w:p w14:paraId="7D201390" w14:textId="39DB7201" w:rsidR="00EE36C7" w:rsidRPr="0037342F" w:rsidRDefault="00EE36C7" w:rsidP="00EE36C7">
      <w:pPr>
        <w:spacing w:line="360" w:lineRule="auto"/>
        <w:contextualSpacing/>
        <w:jc w:val="both"/>
        <w:rPr>
          <w:rFonts w:ascii="Times New Roman" w:hAnsi="Times New Roman" w:cs="Times New Roman"/>
          <w:lang w:val="en-US"/>
        </w:rPr>
      </w:pPr>
      <w:r w:rsidRPr="0037342F">
        <w:rPr>
          <w:rFonts w:ascii="Times New Roman" w:hAnsi="Times New Roman" w:cs="Times New Roman"/>
        </w:rPr>
        <w:t xml:space="preserve">Within this context, the question of consent is central. Yet, consent is an extremely contested social and legal concept. </w:t>
      </w:r>
      <w:r w:rsidRPr="0037342F">
        <w:rPr>
          <w:rFonts w:ascii="Times New Roman" w:hAnsi="Times New Roman" w:cs="Times New Roman"/>
          <w:lang w:val="en-US"/>
        </w:rPr>
        <w:t xml:space="preserve">The </w:t>
      </w:r>
      <w:r w:rsidRPr="008409D2">
        <w:rPr>
          <w:rFonts w:ascii="Times New Roman" w:hAnsi="Times New Roman" w:cs="Times New Roman"/>
          <w:i/>
          <w:lang w:val="en-US"/>
        </w:rPr>
        <w:t>Sexual Offences Act (Northern Ireland) Order 2008</w:t>
      </w:r>
      <w:r w:rsidRPr="0037342F">
        <w:rPr>
          <w:rFonts w:ascii="Times New Roman" w:hAnsi="Times New Roman" w:cs="Times New Roman"/>
          <w:lang w:val="en-US"/>
        </w:rPr>
        <w:t xml:space="preserve"> is the only statute which defines consent in criminal law: Article 3 describes it as when a person</w:t>
      </w:r>
      <w:r w:rsidRPr="0037342F">
        <w:rPr>
          <w:rFonts w:ascii="Times New Roman" w:hAnsi="Times New Roman" w:cs="Times New Roman"/>
        </w:rPr>
        <w:t xml:space="preserve"> ‘</w:t>
      </w:r>
      <w:r w:rsidRPr="0037342F">
        <w:rPr>
          <w:rFonts w:ascii="Times New Roman" w:hAnsi="Times New Roman" w:cs="Times New Roman"/>
          <w:lang w:val="en-US"/>
        </w:rPr>
        <w:t xml:space="preserve">agrees by </w:t>
      </w:r>
      <w:proofErr w:type="gramStart"/>
      <w:r w:rsidRPr="0037342F">
        <w:rPr>
          <w:rFonts w:ascii="Times New Roman" w:hAnsi="Times New Roman" w:cs="Times New Roman"/>
          <w:lang w:val="en-US"/>
        </w:rPr>
        <w:t>choice, and</w:t>
      </w:r>
      <w:proofErr w:type="gramEnd"/>
      <w:r w:rsidRPr="0037342F">
        <w:rPr>
          <w:rFonts w:ascii="Times New Roman" w:hAnsi="Times New Roman" w:cs="Times New Roman"/>
          <w:lang w:val="en-US"/>
        </w:rPr>
        <w:t xml:space="preserve"> has the freedom and capacity to make that choice.’ However, there is no statutory nor common law definition of consent for (non-sexual) fatal and non-fatal</w:t>
      </w:r>
      <w:r w:rsidRPr="0037342F">
        <w:rPr>
          <w:rFonts w:ascii="Times New Roman" w:hAnsi="Times New Roman" w:cs="Times New Roman"/>
        </w:rPr>
        <w:t xml:space="preserve"> </w:t>
      </w:r>
      <w:r w:rsidRPr="0037342F">
        <w:rPr>
          <w:rFonts w:ascii="Times New Roman" w:hAnsi="Times New Roman" w:cs="Times New Roman"/>
          <w:lang w:val="en-US"/>
        </w:rPr>
        <w:t xml:space="preserve">offences against the person, leading Elliot and </w:t>
      </w:r>
      <w:r w:rsidR="008E464A">
        <w:rPr>
          <w:rFonts w:ascii="Times New Roman" w:hAnsi="Times New Roman" w:cs="Times New Roman"/>
          <w:lang w:val="en-US"/>
        </w:rPr>
        <w:t>D</w:t>
      </w:r>
      <w:r w:rsidRPr="0037342F">
        <w:rPr>
          <w:rFonts w:ascii="Times New Roman" w:hAnsi="Times New Roman" w:cs="Times New Roman"/>
          <w:lang w:val="en-US"/>
        </w:rPr>
        <w:t xml:space="preserve">e </w:t>
      </w:r>
      <w:r>
        <w:rPr>
          <w:rFonts w:ascii="Times New Roman" w:hAnsi="Times New Roman" w:cs="Times New Roman"/>
          <w:lang w:val="en-US"/>
        </w:rPr>
        <w:t>T</w:t>
      </w:r>
      <w:r w:rsidRPr="0037342F">
        <w:rPr>
          <w:rFonts w:ascii="Times New Roman" w:hAnsi="Times New Roman" w:cs="Times New Roman"/>
          <w:lang w:val="en-US"/>
        </w:rPr>
        <w:t xml:space="preserve">han to suggest that the ‘law on consent risks being a patchwork of statute and </w:t>
      </w:r>
      <w:r w:rsidRPr="0037342F">
        <w:rPr>
          <w:rFonts w:ascii="Times New Roman" w:hAnsi="Times New Roman" w:cs="Times New Roman"/>
          <w:i/>
          <w:iCs/>
          <w:lang w:val="en-US"/>
        </w:rPr>
        <w:t>ad hoc</w:t>
      </w:r>
      <w:r w:rsidRPr="0037342F">
        <w:rPr>
          <w:rFonts w:ascii="Times New Roman" w:hAnsi="Times New Roman" w:cs="Times New Roman"/>
          <w:lang w:val="en-US"/>
        </w:rPr>
        <w:t xml:space="preserve"> case law, without any overarching principle to deal with new situations and different offences</w:t>
      </w:r>
      <w:r>
        <w:rPr>
          <w:rFonts w:ascii="Times New Roman" w:hAnsi="Times New Roman" w:cs="Times New Roman"/>
          <w:lang w:val="en-US"/>
        </w:rPr>
        <w:t>.</w:t>
      </w:r>
      <w:r w:rsidRPr="0037342F">
        <w:rPr>
          <w:rFonts w:ascii="Times New Roman" w:hAnsi="Times New Roman" w:cs="Times New Roman"/>
          <w:lang w:val="en-US"/>
        </w:rPr>
        <w:t>’</w:t>
      </w:r>
      <w:r w:rsidRPr="0037342F">
        <w:rPr>
          <w:rStyle w:val="FootnoteReference"/>
          <w:rFonts w:ascii="Times New Roman" w:hAnsi="Times New Roman" w:cs="Times New Roman"/>
          <w:lang w:val="en-US"/>
        </w:rPr>
        <w:footnoteReference w:id="31"/>
      </w:r>
      <w:r w:rsidRPr="0037342F">
        <w:rPr>
          <w:rFonts w:ascii="Times New Roman" w:hAnsi="Times New Roman" w:cs="Times New Roman"/>
          <w:lang w:val="en-US"/>
        </w:rPr>
        <w:t xml:space="preserve"> This is particularly problematic when consent is raised as a defence to harms caused during a sexual interaction,</w:t>
      </w:r>
      <w:r w:rsidRPr="0037342F">
        <w:rPr>
          <w:rStyle w:val="FootnoteReference"/>
          <w:rFonts w:ascii="Times New Roman" w:hAnsi="Times New Roman" w:cs="Times New Roman"/>
          <w:lang w:val="en-US"/>
        </w:rPr>
        <w:t xml:space="preserve"> </w:t>
      </w:r>
      <w:r w:rsidRPr="0037342F">
        <w:rPr>
          <w:rStyle w:val="FootnoteReference"/>
          <w:rFonts w:ascii="Times New Roman" w:hAnsi="Times New Roman" w:cs="Times New Roman"/>
          <w:lang w:val="en-US"/>
        </w:rPr>
        <w:footnoteReference w:id="32"/>
      </w:r>
      <w:r w:rsidRPr="0037342F">
        <w:rPr>
          <w:rFonts w:ascii="Times New Roman" w:hAnsi="Times New Roman" w:cs="Times New Roman"/>
          <w:lang w:val="en-US"/>
        </w:rPr>
        <w:t xml:space="preserve"> especially due to evidential issues that arise where </w:t>
      </w:r>
      <w:r w:rsidRPr="0037342F">
        <w:rPr>
          <w:rFonts w:ascii="Times New Roman" w:hAnsi="Times New Roman" w:cs="Times New Roman"/>
        </w:rPr>
        <w:t>the victim is deceased and is therefore unable to give evidence regarding the incident and testify on whether they did in fact consent.</w:t>
      </w:r>
      <w:r w:rsidRPr="0037342F">
        <w:rPr>
          <w:rFonts w:ascii="Times New Roman" w:hAnsi="Times New Roman" w:cs="Times New Roman"/>
          <w:vertAlign w:val="superscript"/>
        </w:rPr>
        <w:footnoteReference w:id="33"/>
      </w:r>
      <w:r w:rsidRPr="0037342F">
        <w:rPr>
          <w:rFonts w:ascii="Times New Roman" w:hAnsi="Times New Roman" w:cs="Times New Roman"/>
        </w:rPr>
        <w:t xml:space="preserve"> As will be discussed in more detail in response to question 3 of the consultation, often this defence focuses on the sexual rather than violent aspects of the case a</w:t>
      </w:r>
      <w:r>
        <w:rPr>
          <w:rFonts w:ascii="Times New Roman" w:hAnsi="Times New Roman" w:cs="Times New Roman"/>
        </w:rPr>
        <w:t>n</w:t>
      </w:r>
      <w:r w:rsidRPr="0037342F">
        <w:rPr>
          <w:rFonts w:ascii="Times New Roman" w:hAnsi="Times New Roman" w:cs="Times New Roman"/>
        </w:rPr>
        <w:t>d results in a narrative that positions the victim as the responsible party for the events that lead to their death. Rape myths and evidence relating to the victim’s previous sexual history are often relied upon by the defence,</w:t>
      </w:r>
      <w:r w:rsidRPr="0037342F">
        <w:rPr>
          <w:rFonts w:ascii="Times New Roman" w:hAnsi="Times New Roman" w:cs="Times New Roman"/>
          <w:vertAlign w:val="superscript"/>
        </w:rPr>
        <w:footnoteReference w:id="34"/>
      </w:r>
      <w:r w:rsidRPr="0037342F">
        <w:rPr>
          <w:rFonts w:ascii="Times New Roman" w:hAnsi="Times New Roman" w:cs="Times New Roman"/>
        </w:rPr>
        <w:t xml:space="preserve"> </w:t>
      </w:r>
      <w:r>
        <w:rPr>
          <w:rFonts w:ascii="Times New Roman" w:hAnsi="Times New Roman" w:cs="Times New Roman"/>
        </w:rPr>
        <w:t>and</w:t>
      </w:r>
      <w:r w:rsidRPr="0037342F">
        <w:rPr>
          <w:rFonts w:ascii="Times New Roman" w:hAnsi="Times New Roman" w:cs="Times New Roman"/>
        </w:rPr>
        <w:t xml:space="preserve"> even if the defendant is found guilty of murder in ‘sex gone wrong’ cases, the reputation of a woman becomes the central focus and continues to distort the memory of a victim even after completion of the trial.</w:t>
      </w:r>
      <w:r w:rsidRPr="0037342F">
        <w:rPr>
          <w:rFonts w:ascii="Times New Roman" w:hAnsi="Times New Roman" w:cs="Times New Roman"/>
          <w:vertAlign w:val="superscript"/>
        </w:rPr>
        <w:footnoteReference w:id="35"/>
      </w:r>
      <w:r w:rsidRPr="0037342F">
        <w:rPr>
          <w:rFonts w:ascii="Times New Roman" w:hAnsi="Times New Roman" w:cs="Times New Roman"/>
        </w:rPr>
        <w:t xml:space="preserve"> </w:t>
      </w:r>
    </w:p>
    <w:p w14:paraId="529B804F" w14:textId="77777777" w:rsidR="00EE36C7" w:rsidRPr="0037342F" w:rsidRDefault="00EE36C7" w:rsidP="00EE36C7">
      <w:pPr>
        <w:spacing w:line="360" w:lineRule="auto"/>
        <w:contextualSpacing/>
        <w:jc w:val="both"/>
        <w:rPr>
          <w:rFonts w:ascii="Times New Roman" w:hAnsi="Times New Roman" w:cs="Times New Roman"/>
        </w:rPr>
      </w:pPr>
    </w:p>
    <w:p w14:paraId="49325463" w14:textId="09458930" w:rsidR="00EE36C7" w:rsidRPr="0037342F"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 xml:space="preserve">In this respect, it is argued that the case law </w:t>
      </w:r>
      <w:r w:rsidR="00524945">
        <w:rPr>
          <w:rFonts w:ascii="Times New Roman" w:hAnsi="Times New Roman" w:cs="Times New Roman"/>
        </w:rPr>
        <w:t xml:space="preserve">is </w:t>
      </w:r>
      <w:r w:rsidR="00127CA8">
        <w:rPr>
          <w:rFonts w:ascii="Times New Roman" w:hAnsi="Times New Roman" w:cs="Times New Roman"/>
        </w:rPr>
        <w:t>confusing,</w:t>
      </w:r>
      <w:r w:rsidR="00524945">
        <w:rPr>
          <w:rFonts w:ascii="Times New Roman" w:hAnsi="Times New Roman" w:cs="Times New Roman"/>
        </w:rPr>
        <w:t xml:space="preserve"> </w:t>
      </w:r>
      <w:r w:rsidR="00127CA8">
        <w:rPr>
          <w:rFonts w:ascii="Times New Roman" w:hAnsi="Times New Roman" w:cs="Times New Roman"/>
        </w:rPr>
        <w:t xml:space="preserve">and the key points of law are not applied uniformly. </w:t>
      </w:r>
      <w:r w:rsidR="00524945">
        <w:rPr>
          <w:rFonts w:ascii="Times New Roman" w:hAnsi="Times New Roman" w:cs="Times New Roman"/>
        </w:rPr>
        <w:t xml:space="preserve">Further, a lack of consistency </w:t>
      </w:r>
      <w:r w:rsidR="00127CA8">
        <w:rPr>
          <w:rFonts w:ascii="Times New Roman" w:hAnsi="Times New Roman" w:cs="Times New Roman"/>
        </w:rPr>
        <w:t xml:space="preserve">in application has </w:t>
      </w:r>
      <w:r w:rsidR="00524945">
        <w:rPr>
          <w:rFonts w:ascii="Times New Roman" w:hAnsi="Times New Roman" w:cs="Times New Roman"/>
        </w:rPr>
        <w:t>result</w:t>
      </w:r>
      <w:r w:rsidR="00127CA8">
        <w:rPr>
          <w:rFonts w:ascii="Times New Roman" w:hAnsi="Times New Roman" w:cs="Times New Roman"/>
        </w:rPr>
        <w:t>ed</w:t>
      </w:r>
      <w:r w:rsidR="00524945">
        <w:rPr>
          <w:rFonts w:ascii="Times New Roman" w:hAnsi="Times New Roman" w:cs="Times New Roman"/>
        </w:rPr>
        <w:t xml:space="preserve"> in </w:t>
      </w:r>
      <w:r w:rsidR="00127CA8">
        <w:rPr>
          <w:rFonts w:ascii="Times New Roman" w:hAnsi="Times New Roman" w:cs="Times New Roman"/>
        </w:rPr>
        <w:t>an increased use of the ‘rough sex’ defence.</w:t>
      </w:r>
      <w:r w:rsidR="000E56F4" w:rsidRPr="0037342F">
        <w:rPr>
          <w:rFonts w:ascii="Times New Roman" w:hAnsi="Times New Roman" w:cs="Times New Roman"/>
        </w:rPr>
        <w:t xml:space="preserve"> </w:t>
      </w:r>
      <w:r w:rsidR="000E56F4">
        <w:rPr>
          <w:rFonts w:ascii="Times New Roman" w:hAnsi="Times New Roman" w:cs="Times New Roman"/>
        </w:rPr>
        <w:t>Th</w:t>
      </w:r>
      <w:r w:rsidRPr="0037342F">
        <w:rPr>
          <w:rFonts w:ascii="Times New Roman" w:hAnsi="Times New Roman" w:cs="Times New Roman"/>
        </w:rPr>
        <w:t>e next section turns to consider what a legislative intervention in this area might look like with attention to developments in</w:t>
      </w:r>
      <w:r>
        <w:rPr>
          <w:rFonts w:ascii="Times New Roman" w:hAnsi="Times New Roman" w:cs="Times New Roman"/>
        </w:rPr>
        <w:t xml:space="preserve"> England and Wales</w:t>
      </w:r>
      <w:r w:rsidRPr="0037342F">
        <w:rPr>
          <w:rFonts w:ascii="Times New Roman" w:hAnsi="Times New Roman" w:cs="Times New Roman"/>
        </w:rPr>
        <w:t xml:space="preserve">. </w:t>
      </w:r>
    </w:p>
    <w:p w14:paraId="2ADC3C0C" w14:textId="77777777" w:rsidR="00EE36C7" w:rsidRPr="007A2445" w:rsidRDefault="00EE36C7" w:rsidP="00127CA8">
      <w:pPr>
        <w:pStyle w:val="paragraph"/>
        <w:spacing w:before="0" w:beforeAutospacing="0" w:after="0" w:afterAutospacing="0" w:line="360" w:lineRule="auto"/>
        <w:ind w:left="426" w:hanging="426"/>
        <w:contextualSpacing/>
        <w:jc w:val="both"/>
        <w:textAlignment w:val="baseline"/>
        <w:rPr>
          <w:b/>
          <w:bCs/>
        </w:rPr>
      </w:pPr>
      <w:r w:rsidRPr="007A2445">
        <w:rPr>
          <w:b/>
          <w:bCs/>
          <w:i/>
          <w:iCs/>
        </w:rPr>
        <w:lastRenderedPageBreak/>
        <w:t>2. (a) Do you think that consent to serious harm should be outlawed in legislation, similar to the amendment to the Domestic Abuse Bill in England and Wales?</w:t>
      </w:r>
      <w:r w:rsidRPr="007A2445">
        <w:rPr>
          <w:b/>
          <w:bCs/>
        </w:rPr>
        <w:t> </w:t>
      </w:r>
    </w:p>
    <w:p w14:paraId="5DF86948" w14:textId="7B54352A" w:rsidR="00EE36C7" w:rsidRPr="0037342F" w:rsidRDefault="00EE36C7" w:rsidP="00EE36C7">
      <w:pPr>
        <w:spacing w:line="360" w:lineRule="auto"/>
        <w:jc w:val="both"/>
        <w:rPr>
          <w:rStyle w:val="normaltextrun"/>
          <w:rFonts w:ascii="Times New Roman" w:hAnsi="Times New Roman" w:cs="Times New Roman"/>
          <w:color w:val="000000"/>
          <w:shd w:val="clear" w:color="auto" w:fill="FFFFFF"/>
        </w:rPr>
      </w:pPr>
      <w:r w:rsidRPr="0037342F">
        <w:rPr>
          <w:rFonts w:ascii="Times New Roman" w:hAnsi="Times New Roman" w:cs="Times New Roman"/>
          <w:lang w:val="en-US"/>
        </w:rPr>
        <w:t xml:space="preserve">In the broader context of legislative attempts to </w:t>
      </w:r>
      <w:r w:rsidR="001C4A14" w:rsidRPr="0037342F">
        <w:rPr>
          <w:rFonts w:ascii="Times New Roman" w:hAnsi="Times New Roman" w:cs="Times New Roman"/>
          <w:lang w:val="en-US"/>
        </w:rPr>
        <w:t>enhance</w:t>
      </w:r>
      <w:r w:rsidRPr="0037342F">
        <w:rPr>
          <w:rFonts w:ascii="Times New Roman" w:hAnsi="Times New Roman" w:cs="Times New Roman"/>
          <w:lang w:val="en-US"/>
        </w:rPr>
        <w:t xml:space="preserve"> the national response to domestic abuse, Clause 65 of the </w:t>
      </w:r>
      <w:r w:rsidRPr="007B5775">
        <w:rPr>
          <w:rFonts w:ascii="Times New Roman" w:hAnsi="Times New Roman" w:cs="Times New Roman"/>
          <w:i/>
          <w:lang w:val="en-US"/>
        </w:rPr>
        <w:t>Domestic Violence Bill</w:t>
      </w:r>
      <w:r w:rsidRPr="0037342F">
        <w:rPr>
          <w:rFonts w:ascii="Times New Roman" w:hAnsi="Times New Roman" w:cs="Times New Roman"/>
          <w:lang w:val="en-US"/>
        </w:rPr>
        <w:t xml:space="preserve"> </w:t>
      </w:r>
      <w:r>
        <w:rPr>
          <w:rFonts w:ascii="Times New Roman" w:hAnsi="Times New Roman" w:cs="Times New Roman"/>
          <w:lang w:val="en-US"/>
        </w:rPr>
        <w:t xml:space="preserve">in England and Wales </w:t>
      </w:r>
      <w:r w:rsidRPr="0037342F">
        <w:rPr>
          <w:rFonts w:ascii="Times New Roman" w:hAnsi="Times New Roman" w:cs="Times New Roman"/>
          <w:lang w:val="en-US"/>
        </w:rPr>
        <w:t>was added in reaction to pressure from MPs,</w:t>
      </w:r>
      <w:r w:rsidRPr="0037342F">
        <w:rPr>
          <w:rStyle w:val="FootnoteReference"/>
          <w:rFonts w:ascii="Times New Roman" w:hAnsi="Times New Roman" w:cs="Times New Roman"/>
          <w:lang w:val="en-US"/>
        </w:rPr>
        <w:footnoteReference w:id="36"/>
      </w:r>
      <w:r w:rsidRPr="0037342F">
        <w:rPr>
          <w:rFonts w:ascii="Times New Roman" w:hAnsi="Times New Roman" w:cs="Times New Roman"/>
          <w:lang w:val="en-US"/>
        </w:rPr>
        <w:t xml:space="preserve"> activists</w:t>
      </w:r>
      <w:r w:rsidRPr="0037342F">
        <w:rPr>
          <w:rStyle w:val="FootnoteReference"/>
          <w:rFonts w:ascii="Times New Roman" w:hAnsi="Times New Roman" w:cs="Times New Roman"/>
          <w:lang w:val="en-US"/>
        </w:rPr>
        <w:footnoteReference w:id="37"/>
      </w:r>
      <w:r w:rsidRPr="0037342F">
        <w:rPr>
          <w:rFonts w:ascii="Times New Roman" w:hAnsi="Times New Roman" w:cs="Times New Roman"/>
          <w:lang w:val="en-US"/>
        </w:rPr>
        <w:t xml:space="preserve"> and the women’s sector</w:t>
      </w:r>
      <w:r w:rsidRPr="0037342F">
        <w:rPr>
          <w:rStyle w:val="FootnoteReference"/>
          <w:rFonts w:ascii="Times New Roman" w:hAnsi="Times New Roman" w:cs="Times New Roman"/>
          <w:lang w:val="en-US"/>
        </w:rPr>
        <w:footnoteReference w:id="38"/>
      </w:r>
      <w:r w:rsidRPr="0037342F">
        <w:rPr>
          <w:rFonts w:ascii="Times New Roman" w:hAnsi="Times New Roman" w:cs="Times New Roman"/>
          <w:lang w:val="en-US"/>
        </w:rPr>
        <w:t xml:space="preserve"> to address</w:t>
      </w:r>
      <w:r>
        <w:rPr>
          <w:rFonts w:ascii="Times New Roman" w:hAnsi="Times New Roman" w:cs="Times New Roman"/>
          <w:lang w:val="en-US"/>
        </w:rPr>
        <w:t xml:space="preserve"> the growing use of a victims </w:t>
      </w:r>
      <w:r w:rsidRPr="0037342F">
        <w:rPr>
          <w:rFonts w:ascii="Times New Roman" w:hAnsi="Times New Roman" w:cs="Times New Roman"/>
          <w:lang w:val="en-US"/>
        </w:rPr>
        <w:t xml:space="preserve">alleged consent </w:t>
      </w:r>
      <w:r>
        <w:rPr>
          <w:rFonts w:ascii="Times New Roman" w:hAnsi="Times New Roman" w:cs="Times New Roman"/>
          <w:lang w:val="en-US"/>
        </w:rPr>
        <w:t>to ‘</w:t>
      </w:r>
      <w:r w:rsidRPr="0037342F">
        <w:rPr>
          <w:rFonts w:ascii="Times New Roman" w:hAnsi="Times New Roman" w:cs="Times New Roman"/>
          <w:lang w:val="en-US"/>
        </w:rPr>
        <w:t>rough sex</w:t>
      </w:r>
      <w:r>
        <w:rPr>
          <w:rFonts w:ascii="Times New Roman" w:hAnsi="Times New Roman" w:cs="Times New Roman"/>
          <w:lang w:val="en-US"/>
        </w:rPr>
        <w:t>’</w:t>
      </w:r>
      <w:r w:rsidR="00F569FD">
        <w:rPr>
          <w:rFonts w:ascii="Times New Roman" w:hAnsi="Times New Roman" w:cs="Times New Roman"/>
          <w:lang w:val="en-US"/>
        </w:rPr>
        <w:t>, s</w:t>
      </w:r>
      <w:r w:rsidR="00E74093">
        <w:rPr>
          <w:rFonts w:ascii="Times New Roman" w:hAnsi="Times New Roman" w:cs="Times New Roman"/>
          <w:lang w:val="en-US"/>
        </w:rPr>
        <w:t>pecifically</w:t>
      </w:r>
      <w:r>
        <w:rPr>
          <w:rFonts w:ascii="Times New Roman" w:hAnsi="Times New Roman" w:cs="Times New Roman"/>
          <w:lang w:val="en-US"/>
        </w:rPr>
        <w:t xml:space="preserve"> </w:t>
      </w:r>
      <w:r w:rsidRPr="0037342F">
        <w:rPr>
          <w:rFonts w:ascii="Times New Roman" w:hAnsi="Times New Roman" w:cs="Times New Roman"/>
          <w:lang w:val="en-US"/>
        </w:rPr>
        <w:t xml:space="preserve">as a way to diminish or defend against charges of serious harm or murder. </w:t>
      </w:r>
      <w:r>
        <w:rPr>
          <w:rFonts w:ascii="Times New Roman" w:hAnsi="Times New Roman" w:cs="Times New Roman"/>
          <w:lang w:val="en-US"/>
        </w:rPr>
        <w:t xml:space="preserve">This section considers whether, in light of the critique of </w:t>
      </w:r>
      <w:r w:rsidRPr="00D524C7">
        <w:rPr>
          <w:rFonts w:ascii="Times New Roman" w:hAnsi="Times New Roman" w:cs="Times New Roman"/>
          <w:i/>
          <w:iCs/>
          <w:lang w:val="en-US"/>
        </w:rPr>
        <w:t xml:space="preserve">Brown </w:t>
      </w:r>
      <w:r>
        <w:rPr>
          <w:rFonts w:ascii="Times New Roman" w:hAnsi="Times New Roman" w:cs="Times New Roman"/>
          <w:lang w:val="en-US"/>
        </w:rPr>
        <w:t xml:space="preserve">above, </w:t>
      </w:r>
      <w:r w:rsidRPr="00D524C7">
        <w:rPr>
          <w:rStyle w:val="normaltextrun"/>
          <w:rFonts w:ascii="Times New Roman" w:hAnsi="Times New Roman" w:cs="Times New Roman"/>
          <w:color w:val="000000"/>
          <w:shd w:val="clear" w:color="auto" w:fill="FFFFFF"/>
        </w:rPr>
        <w:t xml:space="preserve">the addition of Clause 65 to the </w:t>
      </w:r>
      <w:r w:rsidRPr="0043479D">
        <w:rPr>
          <w:rStyle w:val="normaltextrun"/>
          <w:rFonts w:ascii="Times New Roman" w:hAnsi="Times New Roman" w:cs="Times New Roman"/>
          <w:i/>
          <w:color w:val="000000"/>
          <w:shd w:val="clear" w:color="auto" w:fill="FFFFFF"/>
        </w:rPr>
        <w:t>Domestic Violence Bill</w:t>
      </w:r>
      <w:r w:rsidRPr="00D524C7">
        <w:rPr>
          <w:rStyle w:val="normaltextrun"/>
          <w:rFonts w:ascii="Times New Roman" w:hAnsi="Times New Roman" w:cs="Times New Roman"/>
          <w:color w:val="000000"/>
          <w:shd w:val="clear" w:color="auto" w:fill="FFFFFF"/>
        </w:rPr>
        <w:t xml:space="preserve"> will provide a more robust legal barrier to the use of consent as a defence to serious harm in cases involving sexual gratification.</w:t>
      </w:r>
      <w:r w:rsidRPr="0037342F">
        <w:rPr>
          <w:rStyle w:val="normaltextrun"/>
          <w:rFonts w:ascii="Times New Roman" w:hAnsi="Times New Roman" w:cs="Times New Roman"/>
          <w:color w:val="000000"/>
          <w:shd w:val="clear" w:color="auto" w:fill="FFFFFF"/>
        </w:rPr>
        <w:t xml:space="preserve"> </w:t>
      </w:r>
    </w:p>
    <w:p w14:paraId="1DEBCF97" w14:textId="77777777" w:rsidR="00EE36C7" w:rsidRDefault="00EE36C7" w:rsidP="00EE36C7">
      <w:pPr>
        <w:spacing w:line="360" w:lineRule="auto"/>
        <w:jc w:val="both"/>
        <w:rPr>
          <w:rStyle w:val="normaltextrun"/>
          <w:rFonts w:ascii="Times New Roman" w:hAnsi="Times New Roman" w:cs="Times New Roman"/>
          <w:color w:val="000000"/>
          <w:shd w:val="clear" w:color="auto" w:fill="FFFFFF"/>
        </w:rPr>
      </w:pPr>
    </w:p>
    <w:p w14:paraId="7A87A4ED" w14:textId="77777777" w:rsidR="00EE36C7" w:rsidRPr="00D524C7" w:rsidRDefault="00EE36C7" w:rsidP="00EE36C7">
      <w:pPr>
        <w:spacing w:line="360" w:lineRule="auto"/>
        <w:jc w:val="both"/>
        <w:rPr>
          <w:rStyle w:val="normaltextrun"/>
          <w:rFonts w:ascii="Times New Roman" w:hAnsi="Times New Roman" w:cs="Times New Roman"/>
          <w:b/>
          <w:bCs/>
          <w:color w:val="000000"/>
          <w:shd w:val="clear" w:color="auto" w:fill="FFFFFF"/>
        </w:rPr>
      </w:pPr>
      <w:r w:rsidRPr="00D524C7">
        <w:rPr>
          <w:rStyle w:val="normaltextrun"/>
          <w:rFonts w:ascii="Times New Roman" w:hAnsi="Times New Roman" w:cs="Times New Roman"/>
          <w:b/>
          <w:bCs/>
          <w:color w:val="000000"/>
          <w:shd w:val="clear" w:color="auto" w:fill="FFFFFF"/>
        </w:rPr>
        <w:t>Additional support to existing case law</w:t>
      </w:r>
    </w:p>
    <w:p w14:paraId="40CF0678" w14:textId="77777777" w:rsidR="00EE36C7" w:rsidRPr="00D524C7" w:rsidRDefault="00EE36C7" w:rsidP="00EE36C7">
      <w:pPr>
        <w:spacing w:line="360" w:lineRule="auto"/>
        <w:jc w:val="both"/>
        <w:rPr>
          <w:rFonts w:ascii="Times New Roman" w:hAnsi="Times New Roman" w:cs="Times New Roman"/>
          <w:lang w:val="en-US"/>
        </w:rPr>
      </w:pPr>
      <w:r w:rsidRPr="0037342F">
        <w:rPr>
          <w:rFonts w:ascii="Times New Roman" w:hAnsi="Times New Roman" w:cs="Times New Roman"/>
          <w:lang w:val="en-US"/>
        </w:rPr>
        <w:t>There are three main ways in which Clause 65 provides additional support to the existing case la</w:t>
      </w:r>
      <w:r>
        <w:rPr>
          <w:rFonts w:ascii="Times New Roman" w:hAnsi="Times New Roman" w:cs="Times New Roman"/>
          <w:lang w:val="en-US"/>
        </w:rPr>
        <w:t xml:space="preserve">w. The first is an important </w:t>
      </w:r>
      <w:r w:rsidRPr="00D524C7">
        <w:rPr>
          <w:rFonts w:ascii="Times New Roman" w:hAnsi="Times New Roman" w:cs="Times New Roman"/>
        </w:rPr>
        <w:t>codification of the common law.</w:t>
      </w:r>
      <w:r w:rsidRPr="00D524C7">
        <w:rPr>
          <w:rStyle w:val="FootnoteReference"/>
          <w:rFonts w:ascii="Times New Roman" w:hAnsi="Times New Roman" w:cs="Times New Roman"/>
        </w:rPr>
        <w:footnoteReference w:id="39"/>
      </w:r>
      <w:r w:rsidRPr="00D524C7">
        <w:rPr>
          <w:rFonts w:ascii="Times New Roman" w:hAnsi="Times New Roman" w:cs="Times New Roman"/>
        </w:rPr>
        <w:t xml:space="preserve"> Clause 65 places the common law threshold outlined in </w:t>
      </w:r>
      <w:r w:rsidRPr="00D524C7">
        <w:rPr>
          <w:rFonts w:ascii="Times New Roman" w:hAnsi="Times New Roman" w:cs="Times New Roman"/>
          <w:i/>
          <w:iCs/>
        </w:rPr>
        <w:t xml:space="preserve">Brown </w:t>
      </w:r>
      <w:r w:rsidRPr="00D524C7">
        <w:rPr>
          <w:rFonts w:ascii="Times New Roman" w:hAnsi="Times New Roman" w:cs="Times New Roman"/>
        </w:rPr>
        <w:t xml:space="preserve">on a statutory footing. In relation to offences under Section 18, 20 and 47 of the </w:t>
      </w:r>
      <w:r w:rsidRPr="00AA186E">
        <w:rPr>
          <w:rFonts w:ascii="Times New Roman" w:hAnsi="Times New Roman" w:cs="Times New Roman"/>
          <w:i/>
        </w:rPr>
        <w:t xml:space="preserve">Offences </w:t>
      </w:r>
      <w:r>
        <w:rPr>
          <w:rFonts w:ascii="Times New Roman" w:hAnsi="Times New Roman" w:cs="Times New Roman"/>
          <w:i/>
        </w:rPr>
        <w:t>a</w:t>
      </w:r>
      <w:r w:rsidRPr="00AA186E">
        <w:rPr>
          <w:rFonts w:ascii="Times New Roman" w:hAnsi="Times New Roman" w:cs="Times New Roman"/>
          <w:i/>
        </w:rPr>
        <w:t>gainst the Person Act</w:t>
      </w:r>
      <w:r>
        <w:rPr>
          <w:rFonts w:ascii="Times New Roman" w:hAnsi="Times New Roman" w:cs="Times New Roman"/>
          <w:i/>
        </w:rPr>
        <w:t xml:space="preserve"> 1861</w:t>
      </w:r>
      <w:r w:rsidRPr="00D524C7">
        <w:rPr>
          <w:rFonts w:ascii="Times New Roman" w:hAnsi="Times New Roman" w:cs="Times New Roman"/>
        </w:rPr>
        <w:t xml:space="preserve">, </w:t>
      </w:r>
      <w:r>
        <w:rPr>
          <w:rFonts w:ascii="Times New Roman" w:hAnsi="Times New Roman" w:cs="Times New Roman"/>
        </w:rPr>
        <w:t xml:space="preserve">the Clause provides that </w:t>
      </w:r>
      <w:r w:rsidRPr="00D524C7">
        <w:rPr>
          <w:rFonts w:ascii="Times New Roman" w:hAnsi="Times New Roman" w:cs="Times New Roman"/>
        </w:rPr>
        <w:t xml:space="preserve">it is </w:t>
      </w:r>
      <w:r>
        <w:rPr>
          <w:rFonts w:ascii="Times New Roman" w:hAnsi="Times New Roman" w:cs="Times New Roman"/>
        </w:rPr>
        <w:t>‘</w:t>
      </w:r>
      <w:r w:rsidRPr="00D524C7">
        <w:rPr>
          <w:rFonts w:ascii="Times New Roman" w:hAnsi="Times New Roman" w:cs="Times New Roman"/>
        </w:rPr>
        <w:t>not a defence that V consented to the infliction of the serious harm for the purposes of obtaining sexual gratification.</w:t>
      </w:r>
      <w:r>
        <w:rPr>
          <w:rFonts w:ascii="Times New Roman" w:hAnsi="Times New Roman" w:cs="Times New Roman"/>
        </w:rPr>
        <w:t>’</w:t>
      </w:r>
      <w:r w:rsidRPr="0037342F">
        <w:rPr>
          <w:rStyle w:val="FootnoteReference"/>
          <w:rFonts w:ascii="Times New Roman" w:hAnsi="Times New Roman" w:cs="Times New Roman"/>
        </w:rPr>
        <w:footnoteReference w:id="40"/>
      </w:r>
      <w:r w:rsidRPr="00D524C7">
        <w:rPr>
          <w:rFonts w:ascii="Times New Roman" w:hAnsi="Times New Roman" w:cs="Times New Roman"/>
        </w:rPr>
        <w:t xml:space="preserve"> Serious harm is defined as grievous bodily harm, wounding or actual bodily harm within the meaning of the </w:t>
      </w:r>
      <w:r>
        <w:rPr>
          <w:rFonts w:ascii="Times New Roman" w:hAnsi="Times New Roman" w:cs="Times New Roman"/>
          <w:i/>
        </w:rPr>
        <w:t>Offences a</w:t>
      </w:r>
      <w:r w:rsidRPr="00AA186E">
        <w:rPr>
          <w:rFonts w:ascii="Times New Roman" w:hAnsi="Times New Roman" w:cs="Times New Roman"/>
          <w:i/>
        </w:rPr>
        <w:t>gainst the Person Act</w:t>
      </w:r>
      <w:r>
        <w:rPr>
          <w:rFonts w:ascii="Times New Roman" w:hAnsi="Times New Roman" w:cs="Times New Roman"/>
          <w:i/>
        </w:rPr>
        <w:t xml:space="preserve"> 1861</w:t>
      </w:r>
      <w:r w:rsidRPr="00D524C7">
        <w:rPr>
          <w:rFonts w:ascii="Times New Roman" w:hAnsi="Times New Roman" w:cs="Times New Roman"/>
        </w:rPr>
        <w:t>. Existing common law exceptions are maintained which exempts activities in the public interest such as sporting, tattooing and piercing, surgery and religious ceremonies from criminal prosecution. Clause 65 also contains a statutory exception where the serious harm is the acquisition of an STD.</w:t>
      </w:r>
      <w:r w:rsidRPr="0037342F">
        <w:rPr>
          <w:rStyle w:val="FootnoteReference"/>
          <w:rFonts w:ascii="Times New Roman" w:hAnsi="Times New Roman" w:cs="Times New Roman"/>
        </w:rPr>
        <w:footnoteReference w:id="41"/>
      </w:r>
      <w:r w:rsidRPr="00D524C7">
        <w:rPr>
          <w:rFonts w:ascii="Times New Roman" w:hAnsi="Times New Roman" w:cs="Times New Roman"/>
        </w:rPr>
        <w:t xml:space="preserve">  Arguably, creating a statutory threshold provides a more secure and robust commitment to ensuring consent is not capable of being used as a defence to serious harm for sexual gratification.</w:t>
      </w:r>
    </w:p>
    <w:p w14:paraId="6137F27F" w14:textId="77777777" w:rsidR="00EE36C7" w:rsidRPr="0037342F" w:rsidRDefault="00EE36C7" w:rsidP="00EE36C7">
      <w:pPr>
        <w:spacing w:line="360" w:lineRule="auto"/>
        <w:jc w:val="both"/>
        <w:rPr>
          <w:rFonts w:ascii="Times New Roman" w:hAnsi="Times New Roman" w:cs="Times New Roman"/>
        </w:rPr>
      </w:pPr>
    </w:p>
    <w:p w14:paraId="3A5EE839" w14:textId="2C3C27C9" w:rsidR="00EE36C7" w:rsidRPr="00D524C7" w:rsidRDefault="00EE36C7" w:rsidP="00EE36C7">
      <w:pPr>
        <w:spacing w:line="360" w:lineRule="auto"/>
        <w:jc w:val="both"/>
        <w:rPr>
          <w:rFonts w:ascii="Times New Roman" w:hAnsi="Times New Roman" w:cs="Times New Roman"/>
        </w:rPr>
      </w:pPr>
      <w:r w:rsidRPr="00D524C7">
        <w:rPr>
          <w:rFonts w:ascii="Times New Roman" w:hAnsi="Times New Roman" w:cs="Times New Roman"/>
        </w:rPr>
        <w:t>The second is an important clarification of the common law</w:t>
      </w:r>
      <w:r>
        <w:rPr>
          <w:rFonts w:ascii="Times New Roman" w:hAnsi="Times New Roman" w:cs="Times New Roman"/>
        </w:rPr>
        <w:t xml:space="preserve"> which, as discussed above, has the potential to be confusing.</w:t>
      </w:r>
      <w:r w:rsidRPr="00D524C7">
        <w:rPr>
          <w:rFonts w:ascii="Times New Roman" w:hAnsi="Times New Roman" w:cs="Times New Roman"/>
        </w:rPr>
        <w:t xml:space="preserve"> Following the decision in </w:t>
      </w:r>
      <w:r w:rsidRPr="00D524C7">
        <w:rPr>
          <w:rFonts w:ascii="Times New Roman" w:hAnsi="Times New Roman" w:cs="Times New Roman"/>
          <w:i/>
          <w:iCs/>
        </w:rPr>
        <w:t>R v Wilson</w:t>
      </w:r>
      <w:r>
        <w:rPr>
          <w:rFonts w:ascii="Times New Roman" w:hAnsi="Times New Roman" w:cs="Times New Roman"/>
          <w:i/>
          <w:iCs/>
        </w:rPr>
        <w:t>,</w:t>
      </w:r>
      <w:r w:rsidRPr="00E74093">
        <w:rPr>
          <w:rStyle w:val="FootnoteReference"/>
          <w:rFonts w:ascii="Times New Roman" w:hAnsi="Times New Roman" w:cs="Times New Roman"/>
        </w:rPr>
        <w:footnoteReference w:id="42"/>
      </w:r>
      <w:r w:rsidRPr="00D524C7">
        <w:rPr>
          <w:rFonts w:ascii="Times New Roman" w:hAnsi="Times New Roman" w:cs="Times New Roman"/>
          <w:i/>
          <w:iCs/>
        </w:rPr>
        <w:t xml:space="preserve"> </w:t>
      </w:r>
      <w:r w:rsidRPr="00D524C7">
        <w:rPr>
          <w:rFonts w:ascii="Times New Roman" w:hAnsi="Times New Roman" w:cs="Times New Roman"/>
        </w:rPr>
        <w:t xml:space="preserve">there was the suggestion that </w:t>
      </w:r>
      <w:r w:rsidRPr="00D524C7">
        <w:rPr>
          <w:rFonts w:ascii="Times New Roman" w:hAnsi="Times New Roman" w:cs="Times New Roman"/>
        </w:rPr>
        <w:lastRenderedPageBreak/>
        <w:t>consent to ABH for the purpose of sexual gratification could be relevant within the context of marriage.</w:t>
      </w:r>
      <w:r w:rsidRPr="0037342F">
        <w:rPr>
          <w:rStyle w:val="FootnoteReference"/>
          <w:rFonts w:ascii="Times New Roman" w:hAnsi="Times New Roman" w:cs="Times New Roman"/>
        </w:rPr>
        <w:footnoteReference w:id="43"/>
      </w:r>
      <w:r w:rsidRPr="00D524C7">
        <w:rPr>
          <w:rFonts w:ascii="Times New Roman" w:hAnsi="Times New Roman" w:cs="Times New Roman"/>
        </w:rPr>
        <w:t xml:space="preserve"> Bows and Herring point to the fact some case law suggests where serious harm for the purpose of sexual gratification occurs within the context of a marriage, there is a question as to whether it is covered by </w:t>
      </w:r>
      <w:r w:rsidRPr="00D524C7">
        <w:rPr>
          <w:rFonts w:ascii="Times New Roman" w:hAnsi="Times New Roman" w:cs="Times New Roman"/>
          <w:i/>
          <w:iCs/>
        </w:rPr>
        <w:t>Brown.</w:t>
      </w:r>
      <w:r w:rsidRPr="00127CA8">
        <w:rPr>
          <w:rStyle w:val="FootnoteReference"/>
          <w:rFonts w:ascii="Times New Roman" w:hAnsi="Times New Roman" w:cs="Times New Roman"/>
        </w:rPr>
        <w:footnoteReference w:id="44"/>
      </w:r>
      <w:r w:rsidRPr="00D524C7">
        <w:rPr>
          <w:rFonts w:ascii="Times New Roman" w:hAnsi="Times New Roman" w:cs="Times New Roman"/>
          <w:i/>
          <w:iCs/>
        </w:rPr>
        <w:t xml:space="preserve"> </w:t>
      </w:r>
      <w:r w:rsidRPr="00D524C7">
        <w:rPr>
          <w:rFonts w:ascii="Times New Roman" w:hAnsi="Times New Roman" w:cs="Times New Roman"/>
        </w:rPr>
        <w:t>In W</w:t>
      </w:r>
      <w:r w:rsidRPr="00D524C7">
        <w:rPr>
          <w:rFonts w:ascii="Times New Roman" w:hAnsi="Times New Roman" w:cs="Times New Roman"/>
          <w:i/>
          <w:iCs/>
        </w:rPr>
        <w:t>ilson</w:t>
      </w:r>
      <w:r>
        <w:rPr>
          <w:rFonts w:ascii="Times New Roman" w:hAnsi="Times New Roman" w:cs="Times New Roman"/>
          <w:i/>
          <w:iCs/>
        </w:rPr>
        <w:t>,</w:t>
      </w:r>
      <w:r w:rsidRPr="00D524C7">
        <w:rPr>
          <w:rStyle w:val="FootnoteReference"/>
          <w:rFonts w:ascii="Times New Roman" w:hAnsi="Times New Roman" w:cs="Times New Roman"/>
        </w:rPr>
        <w:footnoteReference w:id="45"/>
      </w:r>
      <w:r w:rsidRPr="00D524C7">
        <w:rPr>
          <w:rFonts w:ascii="Times New Roman" w:hAnsi="Times New Roman" w:cs="Times New Roman"/>
          <w:i/>
          <w:iCs/>
        </w:rPr>
        <w:t xml:space="preserve"> </w:t>
      </w:r>
      <w:r w:rsidRPr="00D524C7">
        <w:rPr>
          <w:rFonts w:ascii="Times New Roman" w:hAnsi="Times New Roman" w:cs="Times New Roman"/>
        </w:rPr>
        <w:t xml:space="preserve">the conviction for ABH was overturned because </w:t>
      </w:r>
      <w:r>
        <w:rPr>
          <w:rFonts w:ascii="Times New Roman" w:hAnsi="Times New Roman" w:cs="Times New Roman"/>
        </w:rPr>
        <w:t>‘</w:t>
      </w:r>
      <w:r w:rsidRPr="00D524C7">
        <w:rPr>
          <w:rFonts w:ascii="Times New Roman" w:hAnsi="Times New Roman" w:cs="Times New Roman"/>
        </w:rPr>
        <w:t>consensual activity between husband and wife, in the privacy of their matrimonial home, was not a matter for criminal investigation or prosecution</w:t>
      </w:r>
      <w:r w:rsidR="0055658C">
        <w:rPr>
          <w:rFonts w:ascii="Times New Roman" w:hAnsi="Times New Roman" w:cs="Times New Roman"/>
        </w:rPr>
        <w:t>.</w:t>
      </w:r>
      <w:r>
        <w:rPr>
          <w:rFonts w:ascii="Times New Roman" w:hAnsi="Times New Roman" w:cs="Times New Roman"/>
        </w:rPr>
        <w:t>’</w:t>
      </w:r>
      <w:r w:rsidRPr="0037342F">
        <w:rPr>
          <w:rStyle w:val="FootnoteReference"/>
          <w:rFonts w:ascii="Times New Roman" w:hAnsi="Times New Roman" w:cs="Times New Roman"/>
        </w:rPr>
        <w:footnoteReference w:id="46"/>
      </w:r>
      <w:r w:rsidRPr="00D524C7">
        <w:rPr>
          <w:rFonts w:ascii="Times New Roman" w:hAnsi="Times New Roman" w:cs="Times New Roman"/>
        </w:rPr>
        <w:t xml:space="preserve"> Write J’s comments in </w:t>
      </w:r>
      <w:r w:rsidRPr="00D524C7">
        <w:rPr>
          <w:rFonts w:ascii="Times New Roman" w:hAnsi="Times New Roman" w:cs="Times New Roman"/>
          <w:i/>
          <w:iCs/>
        </w:rPr>
        <w:t>R v Emmett</w:t>
      </w:r>
      <w:r w:rsidRPr="00127CA8">
        <w:rPr>
          <w:rStyle w:val="FootnoteReference"/>
          <w:rFonts w:ascii="Times New Roman" w:hAnsi="Times New Roman" w:cs="Times New Roman"/>
        </w:rPr>
        <w:footnoteReference w:id="47"/>
      </w:r>
      <w:r w:rsidRPr="00D524C7">
        <w:rPr>
          <w:rFonts w:ascii="Times New Roman" w:hAnsi="Times New Roman" w:cs="Times New Roman"/>
          <w:i/>
          <w:iCs/>
        </w:rPr>
        <w:t xml:space="preserve"> </w:t>
      </w:r>
      <w:r w:rsidRPr="00D524C7">
        <w:rPr>
          <w:rFonts w:ascii="Times New Roman" w:hAnsi="Times New Roman" w:cs="Times New Roman"/>
        </w:rPr>
        <w:t xml:space="preserve">seemed to confirm </w:t>
      </w:r>
      <w:r w:rsidRPr="00D524C7">
        <w:rPr>
          <w:rFonts w:ascii="Times New Roman" w:hAnsi="Times New Roman" w:cs="Times New Roman"/>
          <w:i/>
          <w:iCs/>
        </w:rPr>
        <w:t>Brown</w:t>
      </w:r>
      <w:r w:rsidRPr="00127CA8">
        <w:rPr>
          <w:rStyle w:val="FootnoteReference"/>
          <w:rFonts w:ascii="Times New Roman" w:hAnsi="Times New Roman" w:cs="Times New Roman"/>
        </w:rPr>
        <w:footnoteReference w:id="48"/>
      </w:r>
      <w:r w:rsidRPr="00D524C7">
        <w:rPr>
          <w:rFonts w:ascii="Times New Roman" w:hAnsi="Times New Roman" w:cs="Times New Roman"/>
          <w:i/>
          <w:iCs/>
        </w:rPr>
        <w:t xml:space="preserve"> </w:t>
      </w:r>
      <w:r w:rsidRPr="00D524C7">
        <w:rPr>
          <w:rFonts w:ascii="Times New Roman" w:hAnsi="Times New Roman" w:cs="Times New Roman"/>
        </w:rPr>
        <w:t xml:space="preserve">still applied to sexual gratification within a marriage, maintaining that there was no reason to draw </w:t>
      </w:r>
      <w:r>
        <w:rPr>
          <w:rFonts w:ascii="Times New Roman" w:hAnsi="Times New Roman" w:cs="Times New Roman"/>
        </w:rPr>
        <w:t>‘</w:t>
      </w:r>
      <w:r w:rsidRPr="00D524C7">
        <w:rPr>
          <w:rFonts w:ascii="Times New Roman" w:hAnsi="Times New Roman" w:cs="Times New Roman"/>
        </w:rPr>
        <w:t>any distinction between sadomasochistic activity on a heterosexual basis and that which is conducted in a homosexual context</w:t>
      </w:r>
      <w:r>
        <w:rPr>
          <w:rFonts w:ascii="Times New Roman" w:hAnsi="Times New Roman" w:cs="Times New Roman"/>
        </w:rPr>
        <w:t>.’</w:t>
      </w:r>
      <w:r w:rsidRPr="0037342F">
        <w:rPr>
          <w:rStyle w:val="FootnoteReference"/>
          <w:rFonts w:ascii="Times New Roman" w:hAnsi="Times New Roman" w:cs="Times New Roman"/>
        </w:rPr>
        <w:footnoteReference w:id="49"/>
      </w:r>
      <w:r w:rsidRPr="00D524C7">
        <w:rPr>
          <w:rFonts w:ascii="Times New Roman" w:hAnsi="Times New Roman" w:cs="Times New Roman"/>
        </w:rPr>
        <w:t xml:space="preserve"> However, the recent case of </w:t>
      </w:r>
      <w:r w:rsidRPr="00D524C7">
        <w:rPr>
          <w:rFonts w:ascii="Times New Roman" w:hAnsi="Times New Roman" w:cs="Times New Roman"/>
          <w:i/>
          <w:iCs/>
        </w:rPr>
        <w:t>BM</w:t>
      </w:r>
      <w:r>
        <w:rPr>
          <w:rFonts w:ascii="Times New Roman" w:hAnsi="Times New Roman" w:cs="Times New Roman"/>
          <w:i/>
          <w:iCs/>
        </w:rPr>
        <w:t>,</w:t>
      </w:r>
      <w:r w:rsidRPr="00127CA8">
        <w:rPr>
          <w:rStyle w:val="FootnoteReference"/>
          <w:rFonts w:ascii="Times New Roman" w:hAnsi="Times New Roman" w:cs="Times New Roman"/>
        </w:rPr>
        <w:footnoteReference w:id="50"/>
      </w:r>
      <w:r w:rsidR="00E74093">
        <w:rPr>
          <w:rFonts w:ascii="Times New Roman" w:hAnsi="Times New Roman" w:cs="Times New Roman"/>
        </w:rPr>
        <w:t xml:space="preserve"> </w:t>
      </w:r>
      <w:r>
        <w:rPr>
          <w:rFonts w:ascii="Times New Roman" w:hAnsi="Times New Roman" w:cs="Times New Roman"/>
        </w:rPr>
        <w:t>as noted above</w:t>
      </w:r>
      <w:r w:rsidR="00F569FD">
        <w:rPr>
          <w:rFonts w:ascii="Times New Roman" w:hAnsi="Times New Roman" w:cs="Times New Roman"/>
        </w:rPr>
        <w:t>,</w:t>
      </w:r>
      <w:r>
        <w:rPr>
          <w:rFonts w:ascii="Times New Roman" w:hAnsi="Times New Roman" w:cs="Times New Roman"/>
        </w:rPr>
        <w:t xml:space="preserve"> seemed to contradict the </w:t>
      </w:r>
      <w:r w:rsidRPr="00D524C7">
        <w:rPr>
          <w:rFonts w:ascii="Times New Roman" w:hAnsi="Times New Roman" w:cs="Times New Roman"/>
        </w:rPr>
        <w:t xml:space="preserve">ruling in </w:t>
      </w:r>
      <w:r w:rsidRPr="00D524C7">
        <w:rPr>
          <w:rFonts w:ascii="Times New Roman" w:hAnsi="Times New Roman" w:cs="Times New Roman"/>
          <w:i/>
          <w:iCs/>
        </w:rPr>
        <w:t>Emmett</w:t>
      </w:r>
      <w:r>
        <w:rPr>
          <w:rFonts w:ascii="Times New Roman" w:hAnsi="Times New Roman" w:cs="Times New Roman"/>
        </w:rPr>
        <w:t>.</w:t>
      </w:r>
      <w:r w:rsidRPr="0037342F">
        <w:rPr>
          <w:rStyle w:val="FootnoteReference"/>
          <w:rFonts w:ascii="Times New Roman" w:hAnsi="Times New Roman" w:cs="Times New Roman"/>
        </w:rPr>
        <w:footnoteReference w:id="51"/>
      </w:r>
      <w:r w:rsidRPr="00D524C7">
        <w:rPr>
          <w:rFonts w:ascii="Times New Roman" w:hAnsi="Times New Roman" w:cs="Times New Roman"/>
        </w:rPr>
        <w:t xml:space="preserve"> </w:t>
      </w:r>
      <w:r>
        <w:rPr>
          <w:rFonts w:ascii="Times New Roman" w:hAnsi="Times New Roman" w:cs="Times New Roman"/>
        </w:rPr>
        <w:t>P</w:t>
      </w:r>
      <w:r w:rsidRPr="00ED3900">
        <w:rPr>
          <w:rFonts w:ascii="Times New Roman" w:hAnsi="Times New Roman" w:cs="Times New Roman"/>
        </w:rPr>
        <w:t>lacing this prohibition within a legislative framework could alleviate this uncertainty.</w:t>
      </w:r>
    </w:p>
    <w:p w14:paraId="65FFB6BC" w14:textId="77777777" w:rsidR="00EE36C7" w:rsidRDefault="00EE36C7" w:rsidP="00EE36C7">
      <w:pPr>
        <w:spacing w:line="360" w:lineRule="auto"/>
        <w:jc w:val="both"/>
        <w:rPr>
          <w:rFonts w:ascii="Times New Roman" w:hAnsi="Times New Roman" w:cs="Times New Roman"/>
          <w:b/>
          <w:bCs/>
        </w:rPr>
      </w:pPr>
    </w:p>
    <w:p w14:paraId="3BD2A3ED" w14:textId="25CE747F" w:rsidR="00EE36C7" w:rsidRDefault="00EE36C7" w:rsidP="00EE36C7">
      <w:pPr>
        <w:spacing w:line="360" w:lineRule="auto"/>
        <w:jc w:val="both"/>
        <w:rPr>
          <w:rFonts w:ascii="Times New Roman" w:hAnsi="Times New Roman" w:cs="Times New Roman"/>
        </w:rPr>
      </w:pPr>
      <w:r w:rsidRPr="00ED3900">
        <w:rPr>
          <w:rFonts w:ascii="Times New Roman" w:hAnsi="Times New Roman" w:cs="Times New Roman"/>
        </w:rPr>
        <w:t xml:space="preserve">The third is </w:t>
      </w:r>
      <w:r>
        <w:rPr>
          <w:rFonts w:ascii="Times New Roman" w:hAnsi="Times New Roman" w:cs="Times New Roman"/>
        </w:rPr>
        <w:t>s</w:t>
      </w:r>
      <w:r w:rsidRPr="00ED3900">
        <w:rPr>
          <w:rFonts w:ascii="Times New Roman" w:hAnsi="Times New Roman" w:cs="Times New Roman"/>
        </w:rPr>
        <w:t>ymbolism. The criminal justice system is often framed as ameliorating the lives of citizens and protecting them from harm.</w:t>
      </w:r>
      <w:r w:rsidRPr="0037342F">
        <w:rPr>
          <w:rStyle w:val="FootnoteReference"/>
          <w:rFonts w:ascii="Times New Roman" w:hAnsi="Times New Roman" w:cs="Times New Roman"/>
        </w:rPr>
        <w:footnoteReference w:id="52"/>
      </w:r>
      <w:r w:rsidRPr="00ED3900">
        <w:rPr>
          <w:rFonts w:ascii="Times New Roman" w:hAnsi="Times New Roman" w:cs="Times New Roman"/>
        </w:rPr>
        <w:t xml:space="preserve"> Th</w:t>
      </w:r>
      <w:r w:rsidR="0055658C">
        <w:rPr>
          <w:rFonts w:ascii="Times New Roman" w:hAnsi="Times New Roman" w:cs="Times New Roman"/>
        </w:rPr>
        <w:t>e</w:t>
      </w:r>
      <w:r w:rsidRPr="00ED3900">
        <w:rPr>
          <w:rFonts w:ascii="Times New Roman" w:hAnsi="Times New Roman" w:cs="Times New Roman"/>
        </w:rPr>
        <w:t xml:space="preserve"> addition of this amendment to the </w:t>
      </w:r>
      <w:r w:rsidRPr="007B5775">
        <w:rPr>
          <w:rFonts w:ascii="Times New Roman" w:hAnsi="Times New Roman" w:cs="Times New Roman"/>
          <w:i/>
        </w:rPr>
        <w:t>Domestic Abuse Bill</w:t>
      </w:r>
      <w:r w:rsidRPr="00ED3900">
        <w:rPr>
          <w:rFonts w:ascii="Times New Roman" w:hAnsi="Times New Roman" w:cs="Times New Roman"/>
        </w:rPr>
        <w:t xml:space="preserve"> occurred in the context of pressure from lobby groups to address the growing use of </w:t>
      </w:r>
      <w:r>
        <w:rPr>
          <w:rFonts w:ascii="Times New Roman" w:hAnsi="Times New Roman" w:cs="Times New Roman"/>
        </w:rPr>
        <w:t>‘</w:t>
      </w:r>
      <w:r w:rsidRPr="00ED3900">
        <w:rPr>
          <w:rFonts w:ascii="Times New Roman" w:hAnsi="Times New Roman" w:cs="Times New Roman"/>
        </w:rPr>
        <w:t>consent to rough sex</w:t>
      </w:r>
      <w:r>
        <w:rPr>
          <w:rFonts w:ascii="Times New Roman" w:hAnsi="Times New Roman" w:cs="Times New Roman"/>
        </w:rPr>
        <w:t>’</w:t>
      </w:r>
      <w:r w:rsidRPr="00ED3900">
        <w:rPr>
          <w:rFonts w:ascii="Times New Roman" w:hAnsi="Times New Roman" w:cs="Times New Roman"/>
        </w:rPr>
        <w:t xml:space="preserve"> </w:t>
      </w:r>
      <w:r w:rsidR="00277B18">
        <w:rPr>
          <w:rFonts w:ascii="Times New Roman" w:hAnsi="Times New Roman" w:cs="Times New Roman"/>
        </w:rPr>
        <w:t xml:space="preserve">being used to </w:t>
      </w:r>
      <w:r w:rsidRPr="00ED3900">
        <w:rPr>
          <w:rFonts w:ascii="Times New Roman" w:hAnsi="Times New Roman" w:cs="Times New Roman"/>
        </w:rPr>
        <w:t>reduce sentences for perpetrators involved in the serious assault, or death of sexual partners.</w:t>
      </w:r>
      <w:r w:rsidRPr="0037342F">
        <w:rPr>
          <w:rStyle w:val="FootnoteReference"/>
          <w:rFonts w:ascii="Times New Roman" w:hAnsi="Times New Roman" w:cs="Times New Roman"/>
        </w:rPr>
        <w:footnoteReference w:id="53"/>
      </w:r>
      <w:r w:rsidRPr="00ED3900">
        <w:rPr>
          <w:rFonts w:ascii="Times New Roman" w:hAnsi="Times New Roman" w:cs="Times New Roman"/>
        </w:rPr>
        <w:t xml:space="preserve"> The inclusion of the amendment in the </w:t>
      </w:r>
      <w:r w:rsidRPr="007B5775">
        <w:rPr>
          <w:rFonts w:ascii="Times New Roman" w:hAnsi="Times New Roman" w:cs="Times New Roman"/>
          <w:i/>
        </w:rPr>
        <w:t>Domestic Abuse Bill</w:t>
      </w:r>
      <w:r w:rsidRPr="00ED3900">
        <w:rPr>
          <w:rFonts w:ascii="Times New Roman" w:hAnsi="Times New Roman" w:cs="Times New Roman"/>
        </w:rPr>
        <w:t xml:space="preserve"> is perhaps, at least, </w:t>
      </w:r>
      <w:r w:rsidRPr="00DB06B6">
        <w:rPr>
          <w:rFonts w:ascii="Times New Roman" w:hAnsi="Times New Roman" w:cs="Times New Roman"/>
        </w:rPr>
        <w:t>symbolically important as a demonstration that the law views this behaviour as unacceptable and that the legislative process can be collaborative and take on the concerns of different groups</w:t>
      </w:r>
      <w:r w:rsidRPr="00ED3900">
        <w:rPr>
          <w:rFonts w:ascii="Times New Roman" w:hAnsi="Times New Roman" w:cs="Times New Roman"/>
        </w:rPr>
        <w:t xml:space="preserve"> within society. </w:t>
      </w:r>
    </w:p>
    <w:p w14:paraId="1E4A8FC6" w14:textId="77777777" w:rsidR="007709C4" w:rsidRPr="00DB06B6" w:rsidRDefault="007709C4" w:rsidP="00EE36C7">
      <w:pPr>
        <w:spacing w:line="360" w:lineRule="auto"/>
        <w:jc w:val="both"/>
        <w:rPr>
          <w:rFonts w:ascii="Times New Roman" w:hAnsi="Times New Roman" w:cs="Times New Roman"/>
        </w:rPr>
      </w:pPr>
    </w:p>
    <w:p w14:paraId="1AE795EA" w14:textId="77777777" w:rsidR="00EE36C7" w:rsidRPr="00D524C7" w:rsidRDefault="00EE36C7" w:rsidP="00EE36C7">
      <w:pPr>
        <w:spacing w:line="360" w:lineRule="auto"/>
        <w:jc w:val="both"/>
        <w:rPr>
          <w:rFonts w:ascii="Times New Roman" w:hAnsi="Times New Roman" w:cs="Times New Roman"/>
          <w:b/>
          <w:bCs/>
          <w:lang w:val="en-US"/>
        </w:rPr>
      </w:pPr>
      <w:r w:rsidRPr="00D524C7">
        <w:rPr>
          <w:rFonts w:ascii="Times New Roman" w:hAnsi="Times New Roman" w:cs="Times New Roman"/>
          <w:b/>
          <w:bCs/>
          <w:lang w:val="en-US"/>
        </w:rPr>
        <w:t xml:space="preserve">Remaining challenges </w:t>
      </w:r>
    </w:p>
    <w:p w14:paraId="416EEB2E" w14:textId="2D7A68E3" w:rsidR="00EE36C7" w:rsidRPr="00DB06B6" w:rsidRDefault="00EE36C7" w:rsidP="00EE36C7">
      <w:pPr>
        <w:spacing w:line="360" w:lineRule="auto"/>
        <w:jc w:val="both"/>
        <w:rPr>
          <w:rFonts w:ascii="Times New Roman" w:hAnsi="Times New Roman" w:cs="Times New Roman"/>
          <w:lang w:val="en-US"/>
        </w:rPr>
      </w:pPr>
      <w:r w:rsidRPr="0037342F">
        <w:rPr>
          <w:rFonts w:ascii="Times New Roman" w:hAnsi="Times New Roman" w:cs="Times New Roman"/>
          <w:lang w:val="en-US"/>
        </w:rPr>
        <w:t>Despite the additional support Clause 65 provides, numerous issues remain</w:t>
      </w:r>
      <w:r>
        <w:rPr>
          <w:rFonts w:ascii="Times New Roman" w:hAnsi="Times New Roman" w:cs="Times New Roman"/>
          <w:lang w:val="en-US"/>
        </w:rPr>
        <w:t xml:space="preserve">. </w:t>
      </w:r>
      <w:r w:rsidR="00E74093">
        <w:rPr>
          <w:rFonts w:ascii="Times New Roman" w:hAnsi="Times New Roman" w:cs="Times New Roman"/>
          <w:lang w:val="en-US"/>
        </w:rPr>
        <w:t xml:space="preserve">The first being that the </w:t>
      </w:r>
      <w:r w:rsidRPr="00DB06B6">
        <w:rPr>
          <w:rFonts w:ascii="Times New Roman" w:hAnsi="Times New Roman" w:cs="Times New Roman"/>
          <w:lang w:val="en-US"/>
        </w:rPr>
        <w:t>amendment will not have the desired effect. Jonathan Rodger argues that while Clause 65 might appear to address the con</w:t>
      </w:r>
      <w:r>
        <w:rPr>
          <w:rFonts w:ascii="Times New Roman" w:hAnsi="Times New Roman" w:cs="Times New Roman"/>
          <w:lang w:val="en-US"/>
        </w:rPr>
        <w:t>cerns of WCCTT by removing the</w:t>
      </w:r>
      <w:r w:rsidRPr="00DB06B6">
        <w:rPr>
          <w:rFonts w:ascii="Times New Roman" w:hAnsi="Times New Roman" w:cs="Times New Roman"/>
          <w:lang w:val="en-US"/>
        </w:rPr>
        <w:t xml:space="preserve"> defendant’s ability to claim </w:t>
      </w:r>
      <w:r w:rsidRPr="00DB06B6">
        <w:rPr>
          <w:rFonts w:ascii="Times New Roman" w:hAnsi="Times New Roman" w:cs="Times New Roman"/>
          <w:lang w:val="en-US"/>
        </w:rPr>
        <w:lastRenderedPageBreak/>
        <w:t>that a victim consented to serious harm, in reality it does not.</w:t>
      </w:r>
      <w:r w:rsidRPr="0037342F">
        <w:rPr>
          <w:rStyle w:val="FootnoteReference"/>
          <w:rFonts w:ascii="Times New Roman" w:hAnsi="Times New Roman" w:cs="Times New Roman"/>
          <w:lang w:val="en-US"/>
        </w:rPr>
        <w:footnoteReference w:id="54"/>
      </w:r>
      <w:r w:rsidRPr="00DB06B6">
        <w:rPr>
          <w:rFonts w:ascii="Times New Roman" w:hAnsi="Times New Roman" w:cs="Times New Roman"/>
          <w:lang w:val="en-US"/>
        </w:rPr>
        <w:t xml:space="preserve"> Rodger maintains that consent has never acted as a </w:t>
      </w:r>
      <w:r>
        <w:rPr>
          <w:rFonts w:ascii="Times New Roman" w:hAnsi="Times New Roman" w:cs="Times New Roman"/>
          <w:lang w:val="en-US"/>
        </w:rPr>
        <w:t>‘</w:t>
      </w:r>
      <w:r w:rsidRPr="00DB06B6">
        <w:rPr>
          <w:rFonts w:ascii="Times New Roman" w:hAnsi="Times New Roman" w:cs="Times New Roman"/>
          <w:lang w:val="en-US"/>
        </w:rPr>
        <w:t>defen</w:t>
      </w:r>
      <w:r>
        <w:rPr>
          <w:rFonts w:ascii="Times New Roman" w:hAnsi="Times New Roman" w:cs="Times New Roman"/>
          <w:lang w:val="en-US"/>
        </w:rPr>
        <w:t>c</w:t>
      </w:r>
      <w:r w:rsidRPr="00DB06B6">
        <w:rPr>
          <w:rFonts w:ascii="Times New Roman" w:hAnsi="Times New Roman" w:cs="Times New Roman"/>
          <w:lang w:val="en-US"/>
        </w:rPr>
        <w:t>e</w:t>
      </w:r>
      <w:r>
        <w:rPr>
          <w:rFonts w:ascii="Times New Roman" w:hAnsi="Times New Roman" w:cs="Times New Roman"/>
          <w:lang w:val="en-US"/>
        </w:rPr>
        <w:t>’</w:t>
      </w:r>
      <w:r w:rsidRPr="00DB06B6">
        <w:rPr>
          <w:rFonts w:ascii="Times New Roman" w:hAnsi="Times New Roman" w:cs="Times New Roman"/>
          <w:lang w:val="en-US"/>
        </w:rPr>
        <w:t xml:space="preserve"> to murder or serious harm, rather it has been used to establish whether the defendant </w:t>
      </w:r>
      <w:r>
        <w:rPr>
          <w:rFonts w:ascii="Times New Roman" w:hAnsi="Times New Roman" w:cs="Times New Roman"/>
          <w:lang w:val="en-US"/>
        </w:rPr>
        <w:t>‘</w:t>
      </w:r>
      <w:r w:rsidRPr="00DB06B6">
        <w:rPr>
          <w:rFonts w:ascii="Times New Roman" w:hAnsi="Times New Roman" w:cs="Times New Roman"/>
          <w:lang w:val="en-US"/>
        </w:rPr>
        <w:t>foresaw any risk of injury</w:t>
      </w:r>
      <w:r>
        <w:rPr>
          <w:rFonts w:ascii="Times New Roman" w:hAnsi="Times New Roman" w:cs="Times New Roman"/>
          <w:lang w:val="en-US"/>
        </w:rPr>
        <w:t>.’</w:t>
      </w:r>
      <w:r w:rsidRPr="0037342F">
        <w:rPr>
          <w:rStyle w:val="FootnoteReference"/>
          <w:rFonts w:ascii="Times New Roman" w:hAnsi="Times New Roman" w:cs="Times New Roman"/>
          <w:lang w:val="en-US"/>
        </w:rPr>
        <w:footnoteReference w:id="55"/>
      </w:r>
      <w:r w:rsidRPr="00DB06B6">
        <w:rPr>
          <w:rFonts w:ascii="Times New Roman" w:hAnsi="Times New Roman" w:cs="Times New Roman"/>
          <w:lang w:val="en-US"/>
        </w:rPr>
        <w:t xml:space="preserve"> Evidence of the defendant’s intent to cause serious harm or the extent to which serious harm was foreseeable, will remain relevant to </w:t>
      </w:r>
      <w:r>
        <w:rPr>
          <w:rFonts w:ascii="Times New Roman" w:hAnsi="Times New Roman" w:cs="Times New Roman"/>
          <w:lang w:val="en-US"/>
        </w:rPr>
        <w:t xml:space="preserve">offences against the person </w:t>
      </w:r>
      <w:r w:rsidRPr="00DB06B6">
        <w:rPr>
          <w:rFonts w:ascii="Times New Roman" w:hAnsi="Times New Roman" w:cs="Times New Roman"/>
          <w:lang w:val="en-US"/>
        </w:rPr>
        <w:t>offences</w:t>
      </w:r>
      <w:r>
        <w:rPr>
          <w:rFonts w:ascii="Times New Roman" w:hAnsi="Times New Roman" w:cs="Times New Roman"/>
          <w:lang w:val="en-US"/>
        </w:rPr>
        <w:t>,</w:t>
      </w:r>
      <w:r w:rsidRPr="00DB06B6">
        <w:rPr>
          <w:rFonts w:ascii="Times New Roman" w:hAnsi="Times New Roman" w:cs="Times New Roman"/>
          <w:lang w:val="en-US"/>
        </w:rPr>
        <w:t xml:space="preserve"> despite Clause 65. </w:t>
      </w:r>
    </w:p>
    <w:p w14:paraId="57410DE4" w14:textId="77777777" w:rsidR="00EE36C7" w:rsidRDefault="00EE36C7" w:rsidP="00EE36C7">
      <w:pPr>
        <w:spacing w:line="360" w:lineRule="auto"/>
        <w:jc w:val="both"/>
        <w:rPr>
          <w:rFonts w:ascii="Times New Roman" w:hAnsi="Times New Roman" w:cs="Times New Roman"/>
          <w:b/>
          <w:bCs/>
          <w:lang w:val="en-US"/>
        </w:rPr>
      </w:pPr>
    </w:p>
    <w:p w14:paraId="75BEB6EC" w14:textId="77777777" w:rsidR="00EE36C7" w:rsidRDefault="00EE36C7" w:rsidP="00EE36C7">
      <w:pPr>
        <w:spacing w:line="360" w:lineRule="auto"/>
        <w:jc w:val="both"/>
        <w:rPr>
          <w:rFonts w:ascii="Times New Roman" w:hAnsi="Times New Roman" w:cs="Times New Roman"/>
          <w:lang w:val="en-US"/>
        </w:rPr>
      </w:pPr>
      <w:r w:rsidRPr="00DB06B6">
        <w:rPr>
          <w:rFonts w:ascii="Times New Roman" w:hAnsi="Times New Roman" w:cs="Times New Roman"/>
          <w:lang w:val="en-US"/>
        </w:rPr>
        <w:t>Second, the law on consent remains ambiguous.</w:t>
      </w:r>
      <w:r>
        <w:rPr>
          <w:rFonts w:ascii="Times New Roman" w:hAnsi="Times New Roman" w:cs="Times New Roman"/>
          <w:b/>
          <w:bCs/>
          <w:lang w:val="en-US"/>
        </w:rPr>
        <w:t xml:space="preserve"> </w:t>
      </w:r>
      <w:r w:rsidRPr="00DB06B6">
        <w:rPr>
          <w:rFonts w:ascii="Times New Roman" w:hAnsi="Times New Roman" w:cs="Times New Roman"/>
          <w:lang w:val="en-US"/>
        </w:rPr>
        <w:t xml:space="preserve">A complicating factor in the functioning of Clause 65 is the </w:t>
      </w:r>
      <w:r>
        <w:rPr>
          <w:rFonts w:ascii="Times New Roman" w:hAnsi="Times New Roman" w:cs="Times New Roman"/>
          <w:lang w:val="en-US"/>
        </w:rPr>
        <w:t>‘</w:t>
      </w:r>
      <w:r w:rsidRPr="00DB06B6">
        <w:rPr>
          <w:rFonts w:ascii="Times New Roman" w:hAnsi="Times New Roman" w:cs="Times New Roman"/>
          <w:lang w:val="en-US"/>
        </w:rPr>
        <w:t>the lack of consistency in the conceptual boundaries and definitions of consent across criminal law</w:t>
      </w:r>
      <w:r>
        <w:rPr>
          <w:rFonts w:ascii="Times New Roman" w:hAnsi="Times New Roman" w:cs="Times New Roman"/>
          <w:lang w:val="en-US"/>
        </w:rPr>
        <w:t>.’</w:t>
      </w:r>
      <w:r w:rsidRPr="0037342F">
        <w:rPr>
          <w:rStyle w:val="FootnoteReference"/>
          <w:rFonts w:ascii="Times New Roman" w:hAnsi="Times New Roman" w:cs="Times New Roman"/>
          <w:lang w:val="en-US"/>
        </w:rPr>
        <w:footnoteReference w:id="56"/>
      </w:r>
      <w:r w:rsidRPr="00DB06B6">
        <w:rPr>
          <w:rFonts w:ascii="Times New Roman" w:hAnsi="Times New Roman" w:cs="Times New Roman"/>
          <w:lang w:val="en-US"/>
        </w:rPr>
        <w:t xml:space="preserve"> </w:t>
      </w:r>
      <w:r>
        <w:rPr>
          <w:rFonts w:ascii="Times New Roman" w:hAnsi="Times New Roman" w:cs="Times New Roman"/>
          <w:lang w:val="en-US"/>
        </w:rPr>
        <w:t>As noted above, t</w:t>
      </w:r>
      <w:r w:rsidRPr="00DB06B6">
        <w:rPr>
          <w:rFonts w:ascii="Times New Roman" w:hAnsi="Times New Roman" w:cs="Times New Roman"/>
          <w:lang w:val="en-US"/>
        </w:rPr>
        <w:t xml:space="preserve">hough the </w:t>
      </w:r>
      <w:r w:rsidRPr="008409D2">
        <w:rPr>
          <w:rFonts w:ascii="Times New Roman" w:hAnsi="Times New Roman" w:cs="Times New Roman"/>
          <w:i/>
          <w:lang w:val="en-US"/>
        </w:rPr>
        <w:t>Sexual Offences Act 2003</w:t>
      </w:r>
      <w:r w:rsidRPr="00DB06B6">
        <w:rPr>
          <w:rFonts w:ascii="Times New Roman" w:hAnsi="Times New Roman" w:cs="Times New Roman"/>
          <w:lang w:val="en-US"/>
        </w:rPr>
        <w:t xml:space="preserve"> provides a statutory definition of consent, it is only relevant to offences within the 2003 Act. It is </w:t>
      </w:r>
      <w:r w:rsidRPr="00DB06B6">
        <w:rPr>
          <w:rFonts w:ascii="Times New Roman" w:hAnsi="Times New Roman" w:cs="Times New Roman"/>
          <w:i/>
          <w:iCs/>
          <w:lang w:val="en-US"/>
        </w:rPr>
        <w:t>Brown</w:t>
      </w:r>
      <w:r w:rsidRPr="007709C4">
        <w:rPr>
          <w:rStyle w:val="FootnoteReference"/>
          <w:rFonts w:ascii="Times New Roman" w:hAnsi="Times New Roman" w:cs="Times New Roman"/>
          <w:lang w:val="en-US"/>
        </w:rPr>
        <w:footnoteReference w:id="57"/>
      </w:r>
      <w:r w:rsidRPr="00DB06B6">
        <w:rPr>
          <w:rFonts w:ascii="Times New Roman" w:hAnsi="Times New Roman" w:cs="Times New Roman"/>
          <w:i/>
          <w:iCs/>
          <w:lang w:val="en-US"/>
        </w:rPr>
        <w:t xml:space="preserve"> </w:t>
      </w:r>
      <w:r w:rsidRPr="00DB06B6">
        <w:rPr>
          <w:rFonts w:ascii="Times New Roman" w:hAnsi="Times New Roman" w:cs="Times New Roman"/>
          <w:lang w:val="en-US"/>
        </w:rPr>
        <w:t>which provides the leading authority on consent regarding violent offences against the person. The lack of clarity and consistency regarding the function of consent within offences against the person</w:t>
      </w:r>
      <w:r w:rsidRPr="00DB06B6">
        <w:rPr>
          <w:rStyle w:val="FootnoteReference"/>
          <w:rFonts w:ascii="Times New Roman" w:hAnsi="Times New Roman" w:cs="Times New Roman"/>
          <w:lang w:val="en-US"/>
        </w:rPr>
        <w:footnoteReference w:id="58"/>
      </w:r>
      <w:r w:rsidRPr="00DB06B6">
        <w:rPr>
          <w:rFonts w:ascii="Times New Roman" w:hAnsi="Times New Roman" w:cs="Times New Roman"/>
          <w:lang w:val="en-US"/>
        </w:rPr>
        <w:t xml:space="preserve"> should be addressed more directly and statutory definitions should be created for the avoidance of doubt.  </w:t>
      </w:r>
    </w:p>
    <w:p w14:paraId="307C666F" w14:textId="77777777" w:rsidR="00EE36C7" w:rsidRPr="00DB06B6" w:rsidRDefault="00EE36C7" w:rsidP="00EE36C7">
      <w:pPr>
        <w:spacing w:line="360" w:lineRule="auto"/>
        <w:jc w:val="both"/>
        <w:rPr>
          <w:rFonts w:ascii="Times New Roman" w:hAnsi="Times New Roman" w:cs="Times New Roman"/>
          <w:lang w:val="en-US"/>
        </w:rPr>
      </w:pPr>
    </w:p>
    <w:p w14:paraId="7681EA6A" w14:textId="6F7FDF23" w:rsidR="00E74093" w:rsidRPr="00CB6F21" w:rsidRDefault="00EE36C7" w:rsidP="00CB6F21">
      <w:pPr>
        <w:spacing w:line="360" w:lineRule="auto"/>
        <w:jc w:val="both"/>
        <w:rPr>
          <w:rFonts w:ascii="Times New Roman" w:hAnsi="Times New Roman" w:cs="Times New Roman"/>
          <w:lang w:val="en-US"/>
        </w:rPr>
      </w:pPr>
      <w:r w:rsidRPr="00DB06B6">
        <w:rPr>
          <w:rFonts w:ascii="Times New Roman" w:hAnsi="Times New Roman" w:cs="Times New Roman"/>
          <w:lang w:val="en-US"/>
        </w:rPr>
        <w:t>Third, the law fails to acknowledge the gendered harm.</w:t>
      </w:r>
      <w:r w:rsidRPr="00DB06B6">
        <w:rPr>
          <w:rFonts w:ascii="Times New Roman" w:hAnsi="Times New Roman" w:cs="Times New Roman"/>
          <w:b/>
          <w:bCs/>
          <w:lang w:val="en-US"/>
        </w:rPr>
        <w:t xml:space="preserve"> </w:t>
      </w:r>
      <w:r w:rsidRPr="00DB06B6">
        <w:rPr>
          <w:rFonts w:ascii="Times New Roman" w:hAnsi="Times New Roman" w:cs="Times New Roman"/>
          <w:lang w:val="en-US"/>
        </w:rPr>
        <w:t>Clause 65 makes no reference to the fact that while it is possible for both men and women to experience serious harm in the pursuit of sexual gratification, e</w:t>
      </w:r>
      <w:r w:rsidRPr="00DB06B6">
        <w:rPr>
          <w:rFonts w:ascii="Times New Roman" w:hAnsi="Times New Roman" w:cs="Times New Roman"/>
        </w:rPr>
        <w:t>very known killer in the UK who has used the defence of a ‘sex game gone wrong’ is male.</w:t>
      </w:r>
      <w:r w:rsidRPr="0037342F">
        <w:rPr>
          <w:rStyle w:val="FootnoteReference"/>
          <w:rFonts w:ascii="Times New Roman" w:hAnsi="Times New Roman" w:cs="Times New Roman"/>
        </w:rPr>
        <w:footnoteReference w:id="59"/>
      </w:r>
      <w:r w:rsidRPr="00DB06B6">
        <w:rPr>
          <w:rFonts w:ascii="Times New Roman" w:hAnsi="Times New Roman" w:cs="Times New Roman"/>
        </w:rPr>
        <w:t xml:space="preserve"> The gendered nature of this problem must be acknowledged if it is to be tackled without inadvertently criminalising sex-workers and the BDSM industry.</w:t>
      </w:r>
      <w:r w:rsidRPr="0037342F">
        <w:rPr>
          <w:rStyle w:val="FootnoteReference"/>
          <w:rFonts w:ascii="Times New Roman" w:hAnsi="Times New Roman" w:cs="Times New Roman"/>
        </w:rPr>
        <w:footnoteReference w:id="60"/>
      </w:r>
      <w:r>
        <w:rPr>
          <w:rFonts w:ascii="Times New Roman" w:hAnsi="Times New Roman" w:cs="Times New Roman"/>
        </w:rPr>
        <w:t xml:space="preserve"> This point will be elaborated upon in the response to question 3 below. </w:t>
      </w:r>
      <w:r w:rsidRPr="00DB06B6">
        <w:rPr>
          <w:rFonts w:ascii="Times New Roman" w:hAnsi="Times New Roman" w:cs="Times New Roman"/>
        </w:rPr>
        <w:t xml:space="preserve">   </w:t>
      </w:r>
    </w:p>
    <w:p w14:paraId="747E4BAA" w14:textId="77777777" w:rsidR="00E74093" w:rsidRDefault="00E74093" w:rsidP="00EE36C7">
      <w:pPr>
        <w:spacing w:line="360" w:lineRule="auto"/>
        <w:contextualSpacing/>
        <w:jc w:val="both"/>
        <w:textAlignment w:val="baseline"/>
        <w:rPr>
          <w:rFonts w:ascii="Times New Roman" w:eastAsia="Times New Roman" w:hAnsi="Times New Roman" w:cs="Times New Roman"/>
          <w:b/>
          <w:bCs/>
          <w:i/>
          <w:iCs/>
          <w:lang w:eastAsia="en-GB"/>
        </w:rPr>
      </w:pPr>
    </w:p>
    <w:p w14:paraId="3DB13D18" w14:textId="2CE8A7E8" w:rsidR="00EE36C7" w:rsidRPr="00DB06B6" w:rsidRDefault="00EE36C7" w:rsidP="00EE36C7">
      <w:pPr>
        <w:spacing w:line="360" w:lineRule="auto"/>
        <w:contextualSpacing/>
        <w:jc w:val="both"/>
        <w:textAlignment w:val="baseline"/>
        <w:rPr>
          <w:rFonts w:ascii="Times New Roman" w:eastAsia="Times New Roman" w:hAnsi="Times New Roman" w:cs="Times New Roman"/>
          <w:b/>
          <w:bCs/>
          <w:lang w:eastAsia="en-GB"/>
        </w:rPr>
      </w:pPr>
      <w:r w:rsidRPr="007A2445">
        <w:rPr>
          <w:rFonts w:ascii="Times New Roman" w:eastAsia="Times New Roman" w:hAnsi="Times New Roman" w:cs="Times New Roman"/>
          <w:b/>
          <w:bCs/>
          <w:i/>
          <w:iCs/>
          <w:lang w:eastAsia="en-GB"/>
        </w:rPr>
        <w:t>(b) If yes, do you think the offences to which the amendment applies are appropriate?</w:t>
      </w:r>
      <w:r w:rsidRPr="0037342F">
        <w:rPr>
          <w:rFonts w:ascii="Times New Roman" w:eastAsia="Times New Roman" w:hAnsi="Times New Roman" w:cs="Times New Roman"/>
          <w:b/>
          <w:bCs/>
          <w:lang w:eastAsia="en-GB"/>
        </w:rPr>
        <w:t> </w:t>
      </w:r>
    </w:p>
    <w:p w14:paraId="53819ABC" w14:textId="6C15A2AF" w:rsidR="00EE36C7" w:rsidRDefault="00EE36C7" w:rsidP="00EE36C7">
      <w:pPr>
        <w:spacing w:line="360" w:lineRule="auto"/>
        <w:jc w:val="both"/>
        <w:rPr>
          <w:rFonts w:ascii="Times New Roman" w:hAnsi="Times New Roman" w:cs="Times New Roman"/>
        </w:rPr>
      </w:pPr>
      <w:r>
        <w:rPr>
          <w:rFonts w:ascii="Times New Roman" w:hAnsi="Times New Roman" w:cs="Times New Roman"/>
          <w:lang w:val="en-US"/>
        </w:rPr>
        <w:t>In</w:t>
      </w:r>
      <w:r w:rsidRPr="0037342F">
        <w:rPr>
          <w:rFonts w:ascii="Times New Roman" w:hAnsi="Times New Roman" w:cs="Times New Roman"/>
          <w:lang w:val="en-US"/>
        </w:rPr>
        <w:t xml:space="preserve"> its current form, the amendment applies only to three offences (s18, s20 and s47) within the </w:t>
      </w:r>
      <w:r>
        <w:rPr>
          <w:rFonts w:ascii="Times New Roman" w:hAnsi="Times New Roman" w:cs="Times New Roman"/>
          <w:i/>
          <w:lang w:val="en-US"/>
        </w:rPr>
        <w:t>Offences a</w:t>
      </w:r>
      <w:r w:rsidRPr="00AA186E">
        <w:rPr>
          <w:rFonts w:ascii="Times New Roman" w:hAnsi="Times New Roman" w:cs="Times New Roman"/>
          <w:i/>
          <w:lang w:val="en-US"/>
        </w:rPr>
        <w:t>gainst the Person Act 1861</w:t>
      </w:r>
      <w:r w:rsidRPr="0037342F">
        <w:rPr>
          <w:rFonts w:ascii="Times New Roman" w:hAnsi="Times New Roman" w:cs="Times New Roman"/>
          <w:lang w:val="en-US"/>
        </w:rPr>
        <w:t xml:space="preserve">. This allows some offences to remain outside the scope of Clause 65, creating a damaging disparity. For example, Section 21 </w:t>
      </w:r>
      <w:r w:rsidRPr="00272452">
        <w:rPr>
          <w:rFonts w:ascii="Times New Roman" w:hAnsi="Times New Roman" w:cs="Times New Roman"/>
          <w:i/>
          <w:lang w:val="en-US"/>
        </w:rPr>
        <w:t>Offences against the Person Act 1861</w:t>
      </w:r>
      <w:r>
        <w:rPr>
          <w:rFonts w:ascii="Times New Roman" w:hAnsi="Times New Roman" w:cs="Times New Roman"/>
          <w:lang w:val="en-US"/>
        </w:rPr>
        <w:t xml:space="preserve"> </w:t>
      </w:r>
      <w:r w:rsidRPr="0037342F">
        <w:rPr>
          <w:rFonts w:ascii="Times New Roman" w:hAnsi="Times New Roman" w:cs="Times New Roman"/>
          <w:lang w:val="en-US"/>
        </w:rPr>
        <w:t xml:space="preserve">(strangulation or choking) is not included within the scope of Clause 65. While, presumably </w:t>
      </w:r>
      <w:r w:rsidRPr="0037342F">
        <w:rPr>
          <w:rFonts w:ascii="Times New Roman" w:hAnsi="Times New Roman" w:cs="Times New Roman"/>
          <w:i/>
          <w:iCs/>
          <w:lang w:val="en-US"/>
        </w:rPr>
        <w:t>Brown</w:t>
      </w:r>
      <w:r w:rsidRPr="007709C4">
        <w:rPr>
          <w:rStyle w:val="FootnoteReference"/>
          <w:rFonts w:ascii="Times New Roman" w:hAnsi="Times New Roman" w:cs="Times New Roman"/>
          <w:lang w:val="en-US"/>
        </w:rPr>
        <w:footnoteReference w:id="61"/>
      </w:r>
      <w:r w:rsidRPr="0037342F">
        <w:rPr>
          <w:rFonts w:ascii="Times New Roman" w:hAnsi="Times New Roman" w:cs="Times New Roman"/>
          <w:i/>
          <w:iCs/>
          <w:lang w:val="en-US"/>
        </w:rPr>
        <w:t xml:space="preserve"> </w:t>
      </w:r>
      <w:r w:rsidRPr="0037342F">
        <w:rPr>
          <w:rFonts w:ascii="Times New Roman" w:hAnsi="Times New Roman" w:cs="Times New Roman"/>
        </w:rPr>
        <w:t xml:space="preserve">would continue to apply in this context, it does suggest that the </w:t>
      </w:r>
      <w:r w:rsidRPr="0037342F">
        <w:rPr>
          <w:rFonts w:ascii="Times New Roman" w:hAnsi="Times New Roman" w:cs="Times New Roman"/>
        </w:rPr>
        <w:lastRenderedPageBreak/>
        <w:t xml:space="preserve">amendment is not as comprehensive </w:t>
      </w:r>
      <w:r>
        <w:rPr>
          <w:rFonts w:ascii="Times New Roman" w:hAnsi="Times New Roman" w:cs="Times New Roman"/>
        </w:rPr>
        <w:t xml:space="preserve">as it </w:t>
      </w:r>
      <w:r w:rsidRPr="0037342F">
        <w:rPr>
          <w:rFonts w:ascii="Times New Roman" w:hAnsi="Times New Roman" w:cs="Times New Roman"/>
        </w:rPr>
        <w:t>could be in protecting against the use of consent as a defence in the context of sexual gratification. Some activists maintain the need for a stand-alone offence of Non-Fatal Strangulation to underscore the potential for harm.</w:t>
      </w:r>
      <w:r w:rsidRPr="0037342F">
        <w:rPr>
          <w:rStyle w:val="FootnoteReference"/>
          <w:rFonts w:ascii="Times New Roman" w:hAnsi="Times New Roman" w:cs="Times New Roman"/>
        </w:rPr>
        <w:footnoteReference w:id="62"/>
      </w:r>
      <w:r w:rsidRPr="0037342F">
        <w:rPr>
          <w:rFonts w:ascii="Times New Roman" w:hAnsi="Times New Roman" w:cs="Times New Roman"/>
        </w:rPr>
        <w:t xml:space="preserve"> </w:t>
      </w:r>
    </w:p>
    <w:p w14:paraId="2E19F00C" w14:textId="77777777" w:rsidR="00EE36C7" w:rsidRDefault="00EE36C7" w:rsidP="00EE36C7">
      <w:pPr>
        <w:spacing w:line="360" w:lineRule="auto"/>
        <w:jc w:val="both"/>
        <w:rPr>
          <w:rFonts w:ascii="Times New Roman" w:hAnsi="Times New Roman" w:cs="Times New Roman"/>
        </w:rPr>
      </w:pPr>
    </w:p>
    <w:p w14:paraId="341AB65B" w14:textId="7F2F611B" w:rsidR="00EE36C7" w:rsidRPr="0031011F" w:rsidRDefault="00EE36C7" w:rsidP="00EE36C7">
      <w:pPr>
        <w:spacing w:line="360" w:lineRule="auto"/>
        <w:contextualSpacing/>
        <w:jc w:val="both"/>
        <w:rPr>
          <w:rFonts w:ascii="Times New Roman" w:hAnsi="Times New Roman" w:cs="Times New Roman"/>
          <w:u w:val="single"/>
        </w:rPr>
      </w:pPr>
      <w:r w:rsidRPr="0031011F">
        <w:rPr>
          <w:rFonts w:ascii="Times New Roman" w:hAnsi="Times New Roman" w:cs="Times New Roman"/>
          <w:lang w:val="en-US"/>
        </w:rPr>
        <w:t xml:space="preserve">The proposed amendment should be added to the </w:t>
      </w:r>
      <w:r w:rsidRPr="007B5775">
        <w:rPr>
          <w:rFonts w:ascii="Times New Roman" w:hAnsi="Times New Roman" w:cs="Times New Roman"/>
          <w:i/>
          <w:lang w:val="en-US"/>
        </w:rPr>
        <w:t>Domestic Abuse Bill</w:t>
      </w:r>
      <w:r w:rsidRPr="0031011F">
        <w:rPr>
          <w:rFonts w:ascii="Times New Roman" w:hAnsi="Times New Roman" w:cs="Times New Roman"/>
          <w:lang w:val="en-US"/>
        </w:rPr>
        <w:t xml:space="preserve"> – but only on the understanding that this is not legal reform, but merely a confirmation of the status-quo. In order to seriously address this pressing social issue, Clause 65 should be extended to cover more offences, the legal standing of consent must</w:t>
      </w:r>
      <w:r w:rsidRPr="0031011F">
        <w:rPr>
          <w:rFonts w:ascii="Times New Roman" w:hAnsi="Times New Roman" w:cs="Times New Roman"/>
          <w:b/>
          <w:bCs/>
          <w:lang w:val="en-US"/>
        </w:rPr>
        <w:t xml:space="preserve"> </w:t>
      </w:r>
      <w:r w:rsidRPr="0031011F">
        <w:rPr>
          <w:rFonts w:ascii="Times New Roman" w:hAnsi="Times New Roman" w:cs="Times New Roman"/>
          <w:lang w:val="en-US"/>
        </w:rPr>
        <w:t xml:space="preserve">be reconsidered and </w:t>
      </w:r>
      <w:proofErr w:type="gramStart"/>
      <w:r w:rsidRPr="0031011F">
        <w:rPr>
          <w:rFonts w:ascii="Times New Roman" w:hAnsi="Times New Roman" w:cs="Times New Roman"/>
          <w:lang w:val="en-US"/>
        </w:rPr>
        <w:t>clarified</w:t>
      </w:r>
      <w:r w:rsidR="00E74093">
        <w:rPr>
          <w:rFonts w:ascii="Times New Roman" w:hAnsi="Times New Roman" w:cs="Times New Roman"/>
          <w:lang w:val="en-US"/>
        </w:rPr>
        <w:t>,</w:t>
      </w:r>
      <w:r w:rsidRPr="0031011F">
        <w:rPr>
          <w:rFonts w:ascii="Times New Roman" w:hAnsi="Times New Roman" w:cs="Times New Roman"/>
          <w:lang w:val="en-US"/>
        </w:rPr>
        <w:t xml:space="preserve"> and</w:t>
      </w:r>
      <w:proofErr w:type="gramEnd"/>
      <w:r w:rsidRPr="0031011F">
        <w:rPr>
          <w:rFonts w:ascii="Times New Roman" w:hAnsi="Times New Roman" w:cs="Times New Roman"/>
          <w:lang w:val="en-US"/>
        </w:rPr>
        <w:t xml:space="preserve"> damaging patriarchal myths which understand women to be complicit in their own harm</w:t>
      </w:r>
      <w:r w:rsidRPr="0031011F">
        <w:rPr>
          <w:rFonts w:ascii="Times New Roman" w:hAnsi="Times New Roman" w:cs="Times New Roman"/>
          <w:vertAlign w:val="superscript"/>
          <w:lang w:val="en-US"/>
        </w:rPr>
        <w:footnoteReference w:id="63"/>
      </w:r>
      <w:r w:rsidRPr="0031011F">
        <w:rPr>
          <w:rFonts w:ascii="Times New Roman" w:hAnsi="Times New Roman" w:cs="Times New Roman"/>
          <w:lang w:val="en-US"/>
        </w:rPr>
        <w:t xml:space="preserve"> must be comprehensively challenged.</w:t>
      </w:r>
      <w:r w:rsidRPr="0031011F">
        <w:rPr>
          <w:rFonts w:ascii="Times New Roman" w:hAnsi="Times New Roman" w:cs="Times New Roman"/>
        </w:rPr>
        <w:t xml:space="preserve"> In light of this</w:t>
      </w:r>
      <w:r>
        <w:rPr>
          <w:rFonts w:ascii="Times New Roman" w:hAnsi="Times New Roman" w:cs="Times New Roman"/>
        </w:rPr>
        <w:t>,</w:t>
      </w:r>
      <w:r w:rsidRPr="0031011F">
        <w:rPr>
          <w:rFonts w:ascii="Times New Roman" w:hAnsi="Times New Roman" w:cs="Times New Roman"/>
        </w:rPr>
        <w:t xml:space="preserve"> the</w:t>
      </w:r>
      <w:r>
        <w:rPr>
          <w:rFonts w:ascii="Times New Roman" w:hAnsi="Times New Roman" w:cs="Times New Roman"/>
        </w:rPr>
        <w:t xml:space="preserve"> next section turns to consider </w:t>
      </w:r>
      <w:r w:rsidRPr="0037342F">
        <w:rPr>
          <w:rFonts w:ascii="Times New Roman" w:eastAsia="Times New Roman" w:hAnsi="Times New Roman" w:cs="Times New Roman"/>
          <w:shd w:val="clear" w:color="auto" w:fill="FFFFFF"/>
        </w:rPr>
        <w:t xml:space="preserve">whether educational initiatives should be established to complement any legislative intervention. </w:t>
      </w:r>
    </w:p>
    <w:p w14:paraId="7FD28B29" w14:textId="77777777" w:rsidR="00EE36C7" w:rsidRPr="0037342F" w:rsidRDefault="00EE36C7" w:rsidP="00EE36C7">
      <w:pPr>
        <w:pStyle w:val="NormalWeb"/>
        <w:spacing w:line="360" w:lineRule="auto"/>
        <w:contextualSpacing/>
        <w:jc w:val="both"/>
        <w:rPr>
          <w:b/>
          <w:bCs/>
          <w:i/>
          <w:iCs/>
          <w:color w:val="000000"/>
        </w:rPr>
      </w:pPr>
      <w:r w:rsidRPr="0037342F">
        <w:rPr>
          <w:b/>
          <w:bCs/>
          <w:i/>
          <w:iCs/>
          <w:color w:val="000000"/>
        </w:rPr>
        <w:t>3. Do you consider that a programme of education is needed to:</w:t>
      </w:r>
    </w:p>
    <w:p w14:paraId="4B319662" w14:textId="77777777" w:rsidR="00EE36C7" w:rsidRPr="0037342F" w:rsidRDefault="00EE36C7" w:rsidP="00EE36C7">
      <w:pPr>
        <w:pStyle w:val="NormalWeb"/>
        <w:numPr>
          <w:ilvl w:val="0"/>
          <w:numId w:val="1"/>
        </w:numPr>
        <w:spacing w:line="360" w:lineRule="auto"/>
        <w:contextualSpacing/>
        <w:jc w:val="both"/>
        <w:rPr>
          <w:b/>
          <w:bCs/>
          <w:i/>
          <w:iCs/>
          <w:color w:val="000000"/>
        </w:rPr>
      </w:pPr>
      <w:r w:rsidRPr="0037342F">
        <w:rPr>
          <w:b/>
          <w:bCs/>
          <w:i/>
          <w:iCs/>
          <w:color w:val="000000"/>
        </w:rPr>
        <w:t>raise awareness of the dangers of rough sex, and the meaning of consent; and</w:t>
      </w:r>
    </w:p>
    <w:p w14:paraId="48631C6C" w14:textId="77777777" w:rsidR="00EE36C7" w:rsidRPr="0031011F" w:rsidRDefault="00EE36C7" w:rsidP="00EE36C7">
      <w:pPr>
        <w:pStyle w:val="NormalWeb"/>
        <w:numPr>
          <w:ilvl w:val="0"/>
          <w:numId w:val="1"/>
        </w:numPr>
        <w:spacing w:line="360" w:lineRule="auto"/>
        <w:contextualSpacing/>
        <w:jc w:val="both"/>
        <w:rPr>
          <w:b/>
          <w:bCs/>
          <w:i/>
          <w:iCs/>
          <w:color w:val="000000"/>
        </w:rPr>
      </w:pPr>
      <w:r w:rsidRPr="0037342F">
        <w:rPr>
          <w:b/>
          <w:bCs/>
          <w:i/>
          <w:iCs/>
          <w:color w:val="000000" w:themeColor="text1"/>
        </w:rPr>
        <w:t>raise awareness within the criminal justice system to recognise and deal appropriately with the issue when a victim makes a complaint?</w:t>
      </w:r>
    </w:p>
    <w:p w14:paraId="1D462784" w14:textId="77777777" w:rsidR="00EE36C7" w:rsidRPr="0037342F" w:rsidRDefault="00EE36C7" w:rsidP="00EE36C7">
      <w:pPr>
        <w:spacing w:line="360" w:lineRule="auto"/>
        <w:contextualSpacing/>
        <w:jc w:val="both"/>
        <w:rPr>
          <w:rFonts w:ascii="Times New Roman" w:eastAsia="Times New Roman" w:hAnsi="Times New Roman" w:cs="Times New Roman"/>
          <w:b/>
          <w:bCs/>
          <w:shd w:val="clear" w:color="auto" w:fill="FFFFFF"/>
        </w:rPr>
      </w:pPr>
      <w:r w:rsidRPr="0037342F">
        <w:rPr>
          <w:rFonts w:ascii="Times New Roman" w:eastAsia="Times New Roman" w:hAnsi="Times New Roman" w:cs="Times New Roman"/>
          <w:b/>
          <w:bCs/>
          <w:shd w:val="clear" w:color="auto" w:fill="FFFFFF"/>
        </w:rPr>
        <w:t xml:space="preserve">Context: the nature of BDSM and defence narratives </w:t>
      </w:r>
    </w:p>
    <w:p w14:paraId="2766A2FC" w14:textId="19F68274" w:rsidR="00EE36C7" w:rsidRPr="00843343" w:rsidRDefault="00EE36C7" w:rsidP="00843343">
      <w:pPr>
        <w:spacing w:line="360" w:lineRule="auto"/>
        <w:jc w:val="both"/>
        <w:rPr>
          <w:rFonts w:ascii="Times New Roman" w:hAnsi="Times New Roman" w:cs="Times New Roman"/>
          <w:shd w:val="clear" w:color="auto" w:fill="FFFFFF"/>
        </w:rPr>
      </w:pPr>
      <w:r w:rsidRPr="00843343">
        <w:rPr>
          <w:rFonts w:ascii="Times New Roman" w:hAnsi="Times New Roman" w:cs="Times New Roman"/>
          <w:shd w:val="clear" w:color="auto" w:fill="FFFFFF"/>
        </w:rPr>
        <w:t>Rough sex or BDSM has progressively pervaded Western popular Culture, particularly in the past decade, while extreme pornography portraying BDSM themes has become easily accessible online.</w:t>
      </w:r>
      <w:r w:rsidRPr="00843343">
        <w:rPr>
          <w:rStyle w:val="FootnoteReference"/>
          <w:rFonts w:ascii="Times New Roman" w:eastAsia="Times New Roman" w:hAnsi="Times New Roman" w:cs="Times New Roman"/>
          <w:shd w:val="clear" w:color="auto" w:fill="FFFFFF"/>
        </w:rPr>
        <w:footnoteReference w:id="64"/>
      </w:r>
      <w:r w:rsidRPr="00843343">
        <w:rPr>
          <w:rFonts w:ascii="Times New Roman" w:hAnsi="Times New Roman" w:cs="Times New Roman"/>
          <w:shd w:val="clear" w:color="auto" w:fill="FFFFFF"/>
        </w:rPr>
        <w:t xml:space="preserve"> However, greater acceptance and tolerance of both idealised mainstream representations of BDSM and violent misogynistic pornographic tropes, combined with widespread ignorance of BDSM philosophy and practices, creates opportunities for exploitation in court.</w:t>
      </w:r>
      <w:r w:rsidRPr="00843343">
        <w:rPr>
          <w:rStyle w:val="FootnoteReference"/>
          <w:rFonts w:ascii="Times New Roman" w:eastAsia="Times New Roman" w:hAnsi="Times New Roman" w:cs="Times New Roman"/>
          <w:shd w:val="clear" w:color="auto" w:fill="FFFFFF"/>
        </w:rPr>
        <w:footnoteReference w:id="65"/>
      </w:r>
      <w:r w:rsidRPr="00843343">
        <w:rPr>
          <w:rFonts w:ascii="Times New Roman" w:hAnsi="Times New Roman" w:cs="Times New Roman"/>
          <w:shd w:val="clear" w:color="auto" w:fill="FFFFFF"/>
        </w:rPr>
        <w:t xml:space="preserve"> </w:t>
      </w:r>
    </w:p>
    <w:p w14:paraId="20F75503" w14:textId="77777777" w:rsidR="00843343" w:rsidRDefault="00843343" w:rsidP="00EE36C7">
      <w:pPr>
        <w:spacing w:line="360" w:lineRule="auto"/>
        <w:jc w:val="both"/>
        <w:rPr>
          <w:rFonts w:ascii="Times New Roman" w:eastAsia="Times New Roman" w:hAnsi="Times New Roman" w:cs="Times New Roman"/>
          <w:shd w:val="clear" w:color="auto" w:fill="FFFFFF"/>
        </w:rPr>
      </w:pPr>
    </w:p>
    <w:p w14:paraId="27876195" w14:textId="75F72274" w:rsidR="00EE36C7" w:rsidRPr="00843343" w:rsidRDefault="00EE36C7" w:rsidP="00843343">
      <w:pPr>
        <w:spacing w:line="360" w:lineRule="auto"/>
        <w:jc w:val="both"/>
        <w:rPr>
          <w:rFonts w:ascii="Times New Roman" w:hAnsi="Times New Roman" w:cs="Times New Roman"/>
          <w:shd w:val="clear" w:color="auto" w:fill="FFFFFF"/>
        </w:rPr>
      </w:pPr>
      <w:r w:rsidRPr="00843343">
        <w:rPr>
          <w:rFonts w:ascii="Times New Roman" w:hAnsi="Times New Roman" w:cs="Times New Roman"/>
          <w:shd w:val="clear" w:color="auto" w:fill="FFFFFF"/>
        </w:rPr>
        <w:t>As noted above, an increasing number o</w:t>
      </w:r>
      <w:r w:rsidR="00F2782C">
        <w:rPr>
          <w:rFonts w:ascii="Times New Roman" w:hAnsi="Times New Roman" w:cs="Times New Roman"/>
          <w:shd w:val="clear" w:color="auto" w:fill="FFFFFF"/>
        </w:rPr>
        <w:t xml:space="preserve">f </w:t>
      </w:r>
      <w:r w:rsidRPr="00843343">
        <w:rPr>
          <w:rFonts w:ascii="Times New Roman" w:hAnsi="Times New Roman" w:cs="Times New Roman"/>
          <w:shd w:val="clear" w:color="auto" w:fill="FFFFFF"/>
        </w:rPr>
        <w:t xml:space="preserve">male defendants are attempting to absolve themselves of responsibility for serious injuries and deaths, usually of women, by claiming </w:t>
      </w:r>
      <w:r w:rsidRPr="00843343">
        <w:rPr>
          <w:rFonts w:ascii="Times New Roman" w:hAnsi="Times New Roman" w:cs="Times New Roman"/>
          <w:shd w:val="clear" w:color="auto" w:fill="FFFFFF"/>
        </w:rPr>
        <w:lastRenderedPageBreak/>
        <w:t>these resulted from consensual BDSM sexual activity.</w:t>
      </w:r>
      <w:r w:rsidRPr="00843343">
        <w:rPr>
          <w:rStyle w:val="FootnoteReference"/>
          <w:rFonts w:ascii="Times New Roman" w:eastAsia="Times New Roman" w:hAnsi="Times New Roman" w:cs="Times New Roman"/>
          <w:shd w:val="clear" w:color="auto" w:fill="FFFFFF"/>
        </w:rPr>
        <w:footnoteReference w:id="66"/>
      </w:r>
      <w:r w:rsidRPr="00843343">
        <w:rPr>
          <w:rFonts w:ascii="Times New Roman" w:hAnsi="Times New Roman" w:cs="Times New Roman"/>
          <w:shd w:val="clear" w:color="auto" w:fill="FFFFFF"/>
        </w:rPr>
        <w:t> This must be set in </w:t>
      </w:r>
      <w:r w:rsidR="00843343" w:rsidRPr="00843343">
        <w:rPr>
          <w:rFonts w:ascii="Times New Roman" w:hAnsi="Times New Roman" w:cs="Times New Roman"/>
          <w:shd w:val="clear" w:color="auto" w:fill="FFFFFF"/>
        </w:rPr>
        <w:t xml:space="preserve">the </w:t>
      </w:r>
      <w:r w:rsidRPr="00843343">
        <w:rPr>
          <w:rFonts w:ascii="Times New Roman" w:hAnsi="Times New Roman" w:cs="Times New Roman"/>
          <w:shd w:val="clear" w:color="auto" w:fill="FFFFFF"/>
        </w:rPr>
        <w:t>context of extensive global violence against women, including the highly gendered nature of intimate partner abuse, domestic homicide and sexual violence, all largely perpetrated by men against women.</w:t>
      </w:r>
      <w:r w:rsidRPr="00843343">
        <w:rPr>
          <w:rStyle w:val="FootnoteReference"/>
          <w:rFonts w:ascii="Times New Roman" w:eastAsia="Times New Roman" w:hAnsi="Times New Roman" w:cs="Times New Roman"/>
          <w:shd w:val="clear" w:color="auto" w:fill="FFFFFF"/>
        </w:rPr>
        <w:footnoteReference w:id="67"/>
      </w:r>
      <w:r w:rsidRPr="00843343">
        <w:rPr>
          <w:rFonts w:ascii="Times New Roman" w:hAnsi="Times New Roman" w:cs="Times New Roman"/>
          <w:shd w:val="clear" w:color="auto" w:fill="FFFFFF"/>
        </w:rPr>
        <w:t> Recent studies show that significantly more men than women are aroused by fetishism and sadism, many women have participated in so-called ‘rough sex’ unwillingly, and numerous men have engaged in violent sexual behaviour to which their female partners have not consented.</w:t>
      </w:r>
      <w:r w:rsidRPr="00843343">
        <w:rPr>
          <w:rStyle w:val="FootnoteReference"/>
          <w:rFonts w:ascii="Times New Roman" w:eastAsia="Times New Roman" w:hAnsi="Times New Roman" w:cs="Times New Roman"/>
          <w:shd w:val="clear" w:color="auto" w:fill="FFFFFF"/>
        </w:rPr>
        <w:footnoteReference w:id="68"/>
      </w:r>
    </w:p>
    <w:p w14:paraId="0FB76846" w14:textId="77777777" w:rsidR="00EE36C7" w:rsidRPr="0037342F" w:rsidRDefault="00EE36C7" w:rsidP="00EE36C7">
      <w:pPr>
        <w:spacing w:line="360" w:lineRule="auto"/>
        <w:ind w:firstLine="720"/>
        <w:contextualSpacing/>
        <w:jc w:val="both"/>
        <w:rPr>
          <w:rFonts w:ascii="Times New Roman" w:eastAsia="Times New Roman" w:hAnsi="Times New Roman" w:cs="Times New Roman"/>
          <w:shd w:val="clear" w:color="auto" w:fill="FFFFFF"/>
        </w:rPr>
      </w:pPr>
      <w:r w:rsidRPr="0037342F">
        <w:rPr>
          <w:rFonts w:ascii="Times New Roman" w:eastAsia="Times New Roman" w:hAnsi="Times New Roman" w:cs="Times New Roman"/>
          <w:shd w:val="clear" w:color="auto" w:fill="FFFFFF"/>
        </w:rPr>
        <w:t xml:space="preserve"> </w:t>
      </w:r>
    </w:p>
    <w:p w14:paraId="0E3DCFB0" w14:textId="0A5E7A40" w:rsidR="00843343" w:rsidRDefault="00EE36C7" w:rsidP="00843343">
      <w:pPr>
        <w:spacing w:line="360" w:lineRule="auto"/>
        <w:jc w:val="both"/>
        <w:rPr>
          <w:rFonts w:ascii="Times New Roman" w:hAnsi="Times New Roman" w:cs="Times New Roman"/>
          <w:shd w:val="clear" w:color="auto" w:fill="FFFFFF"/>
        </w:rPr>
      </w:pPr>
      <w:r w:rsidRPr="00843343">
        <w:rPr>
          <w:rFonts w:ascii="Times New Roman" w:hAnsi="Times New Roman" w:cs="Times New Roman"/>
          <w:shd w:val="clear" w:color="auto" w:fill="FFFFFF"/>
        </w:rPr>
        <w:t>Many defendants accused of sexual violence against women rely on rape myths, based on patriarchal cultural scripts and sadomasochistic narratives that excuse cruelty and abuse by claiming women want ‘rough sex.’</w:t>
      </w:r>
      <w:r w:rsidRPr="00843343">
        <w:rPr>
          <w:rStyle w:val="FootnoteReference"/>
          <w:rFonts w:ascii="Times New Roman" w:eastAsia="Times New Roman" w:hAnsi="Times New Roman" w:cs="Times New Roman"/>
          <w:shd w:val="clear" w:color="auto" w:fill="FFFFFF"/>
        </w:rPr>
        <w:footnoteReference w:id="69"/>
      </w:r>
      <w:r w:rsidRPr="00843343">
        <w:rPr>
          <w:rFonts w:ascii="Times New Roman" w:hAnsi="Times New Roman" w:cs="Times New Roman"/>
          <w:shd w:val="clear" w:color="auto" w:fill="FFFFFF"/>
        </w:rPr>
        <w:t xml:space="preserve"> When the woman concerned is dead, she is completely voiceless, unable to offer any testimony to contradict these scripts, the power of which may be amplified by false perceptions about BDSM. Alternative verdicts of manslaughter or grievous bodily harm are available to murder trial juries, and more defence counsel are now using ‘rough sex’ narratives to try to persuade judges and jurors that any death or </w:t>
      </w:r>
      <w:r w:rsidR="00A51AB9">
        <w:rPr>
          <w:rFonts w:ascii="Times New Roman" w:hAnsi="Times New Roman" w:cs="Times New Roman"/>
          <w:shd w:val="clear" w:color="auto" w:fill="FFFFFF"/>
        </w:rPr>
        <w:t xml:space="preserve">potential </w:t>
      </w:r>
      <w:r w:rsidRPr="00843343">
        <w:rPr>
          <w:rFonts w:ascii="Times New Roman" w:hAnsi="Times New Roman" w:cs="Times New Roman"/>
          <w:shd w:val="clear" w:color="auto" w:fill="FFFFFF"/>
        </w:rPr>
        <w:t>injury resulting from the defendant’s actions was accidental or due to carelessness rather than intent.</w:t>
      </w:r>
      <w:r w:rsidRPr="00843343">
        <w:rPr>
          <w:rStyle w:val="FootnoteReference"/>
          <w:rFonts w:ascii="Times New Roman" w:eastAsia="Times New Roman" w:hAnsi="Times New Roman" w:cs="Times New Roman"/>
          <w:shd w:val="clear" w:color="auto" w:fill="FFFFFF"/>
        </w:rPr>
        <w:footnoteReference w:id="70"/>
      </w:r>
      <w:r w:rsidRPr="00843343">
        <w:rPr>
          <w:rFonts w:ascii="Times New Roman" w:hAnsi="Times New Roman" w:cs="Times New Roman"/>
          <w:shd w:val="clear" w:color="auto" w:fill="FFFFFF"/>
        </w:rPr>
        <w:t xml:space="preserve"> For example, strangulation was the cause of death in two-thirds of ‘rough sex defence’ cases in recent years, but it is also the primary method of killing an intimate female partner in </w:t>
      </w:r>
      <w:r w:rsidRPr="00843343">
        <w:rPr>
          <w:rFonts w:ascii="Times New Roman" w:hAnsi="Times New Roman" w:cs="Times New Roman"/>
          <w:shd w:val="clear" w:color="auto" w:fill="FFFFFF"/>
        </w:rPr>
        <w:lastRenderedPageBreak/>
        <w:t>a heterosexual relationship over the last three decades.</w:t>
      </w:r>
      <w:r w:rsidRPr="00843343">
        <w:rPr>
          <w:rStyle w:val="FootnoteReference"/>
          <w:rFonts w:ascii="Times New Roman" w:eastAsia="Times New Roman" w:hAnsi="Times New Roman" w:cs="Times New Roman"/>
          <w:shd w:val="clear" w:color="auto" w:fill="FFFFFF"/>
        </w:rPr>
        <w:footnoteReference w:id="71"/>
      </w:r>
      <w:r w:rsidRPr="00843343">
        <w:rPr>
          <w:rFonts w:ascii="Times New Roman" w:hAnsi="Times New Roman" w:cs="Times New Roman"/>
          <w:shd w:val="clear" w:color="auto" w:fill="FFFFFF"/>
        </w:rPr>
        <w:t xml:space="preserve"> While strangulation does not always kill, defence counsel often reframe it as ‘pressure to the neck,’ ‘squeezing’ or ‘pushing down’ to euphemise the defendant’s behaviour into a less serious form of violence.</w:t>
      </w:r>
      <w:r w:rsidRPr="00843343">
        <w:rPr>
          <w:rStyle w:val="FootnoteReference"/>
          <w:rFonts w:ascii="Times New Roman" w:eastAsia="Times New Roman" w:hAnsi="Times New Roman" w:cs="Times New Roman"/>
          <w:shd w:val="clear" w:color="auto" w:fill="FFFFFF"/>
        </w:rPr>
        <w:footnoteReference w:id="72"/>
      </w:r>
      <w:r w:rsidR="00843343">
        <w:rPr>
          <w:rFonts w:ascii="Times New Roman" w:hAnsi="Times New Roman" w:cs="Times New Roman"/>
          <w:shd w:val="clear" w:color="auto" w:fill="FFFFFF"/>
        </w:rPr>
        <w:t xml:space="preserve"> Therefore, even if legislation is amended to explicitly reflect common law, that an individual cannot consent to a sexual act which causes death or serious harm, juries which believe that a complainant consented to a dangerous sexual act are more likely to acquit defendants on the grounds that they lacked the necessary </w:t>
      </w:r>
      <w:proofErr w:type="spellStart"/>
      <w:r w:rsidR="00843343">
        <w:rPr>
          <w:rFonts w:ascii="Times New Roman" w:hAnsi="Times New Roman" w:cs="Times New Roman"/>
          <w:i/>
          <w:iCs/>
          <w:shd w:val="clear" w:color="auto" w:fill="FFFFFF"/>
        </w:rPr>
        <w:t>mens</w:t>
      </w:r>
      <w:proofErr w:type="spellEnd"/>
      <w:r w:rsidR="00843343">
        <w:rPr>
          <w:rFonts w:ascii="Times New Roman" w:hAnsi="Times New Roman" w:cs="Times New Roman"/>
          <w:i/>
          <w:iCs/>
          <w:shd w:val="clear" w:color="auto" w:fill="FFFFFF"/>
        </w:rPr>
        <w:t xml:space="preserve"> rea </w:t>
      </w:r>
      <w:r w:rsidR="00843343">
        <w:rPr>
          <w:rFonts w:ascii="Times New Roman" w:hAnsi="Times New Roman" w:cs="Times New Roman"/>
          <w:shd w:val="clear" w:color="auto" w:fill="FFFFFF"/>
        </w:rPr>
        <w:t>for murder.</w:t>
      </w:r>
      <w:r w:rsidR="00843343">
        <w:rPr>
          <w:rStyle w:val="FootnoteReference"/>
          <w:rFonts w:ascii="Times New Roman" w:hAnsi="Times New Roman" w:cs="Times New Roman"/>
          <w:shd w:val="clear" w:color="auto" w:fill="FFFFFF"/>
        </w:rPr>
        <w:footnoteReference w:id="73"/>
      </w:r>
    </w:p>
    <w:p w14:paraId="7AF244B7" w14:textId="77777777" w:rsidR="00843343" w:rsidRDefault="00843343" w:rsidP="00843343">
      <w:pPr>
        <w:spacing w:line="360" w:lineRule="auto"/>
        <w:jc w:val="both"/>
        <w:rPr>
          <w:rFonts w:ascii="Times New Roman" w:hAnsi="Times New Roman" w:cs="Times New Roman"/>
          <w:shd w:val="clear" w:color="auto" w:fill="FFFFFF"/>
        </w:rPr>
      </w:pPr>
    </w:p>
    <w:p w14:paraId="4400CB25" w14:textId="77777777" w:rsidR="00EE36C7" w:rsidRPr="0037342F" w:rsidRDefault="00EE36C7" w:rsidP="00EE36C7">
      <w:pPr>
        <w:spacing w:line="360" w:lineRule="auto"/>
        <w:contextualSpacing/>
        <w:jc w:val="both"/>
        <w:rPr>
          <w:rFonts w:ascii="Times New Roman" w:eastAsia="Times New Roman" w:hAnsi="Times New Roman" w:cs="Times New Roman"/>
          <w:shd w:val="clear" w:color="auto" w:fill="FFFFFF"/>
        </w:rPr>
      </w:pPr>
      <w:r w:rsidRPr="0037342F">
        <w:rPr>
          <w:rFonts w:ascii="Times New Roman" w:eastAsia="Times New Roman" w:hAnsi="Times New Roman" w:cs="Times New Roman"/>
          <w:shd w:val="clear" w:color="auto" w:fill="FFFFFF"/>
        </w:rPr>
        <w:t xml:space="preserve">Thus, </w:t>
      </w:r>
      <w:r w:rsidRPr="0037342F">
        <w:rPr>
          <w:rFonts w:ascii="Times New Roman" w:hAnsi="Times New Roman" w:cs="Times New Roman"/>
        </w:rPr>
        <w:t>outsiders’ ignorance of BDSM culture and practices leaves many legal professionals and jurors vulnerable to erroneous assumptions.</w:t>
      </w:r>
      <w:r w:rsidRPr="0037342F">
        <w:rPr>
          <w:rStyle w:val="FootnoteReference"/>
          <w:rFonts w:ascii="Times New Roman" w:hAnsi="Times New Roman" w:cs="Times New Roman"/>
        </w:rPr>
        <w:footnoteReference w:id="74"/>
      </w:r>
      <w:r w:rsidRPr="0037342F">
        <w:rPr>
          <w:rFonts w:ascii="Times New Roman" w:hAnsi="Times New Roman" w:cs="Times New Roman"/>
        </w:rPr>
        <w:t xml:space="preserve"> Busby claims that ‘[j]</w:t>
      </w:r>
      <w:proofErr w:type="spellStart"/>
      <w:r w:rsidRPr="0037342F">
        <w:rPr>
          <w:rFonts w:ascii="Times New Roman" w:hAnsi="Times New Roman" w:cs="Times New Roman"/>
        </w:rPr>
        <w:t>udges</w:t>
      </w:r>
      <w:proofErr w:type="spellEnd"/>
      <w:r w:rsidRPr="0037342F">
        <w:rPr>
          <w:rFonts w:ascii="Times New Roman" w:hAnsi="Times New Roman" w:cs="Times New Roman"/>
        </w:rPr>
        <w:t>’ contextual analyses would be stronger if the extreme dangers of erotic asphyxiation were taken more seriously, and they had a bet</w:t>
      </w:r>
      <w:r>
        <w:rPr>
          <w:rFonts w:ascii="Times New Roman" w:hAnsi="Times New Roman" w:cs="Times New Roman"/>
        </w:rPr>
        <w:t>ter understanding of safe, sane</w:t>
      </w:r>
      <w:r w:rsidRPr="0037342F">
        <w:rPr>
          <w:rFonts w:ascii="Times New Roman" w:hAnsi="Times New Roman" w:cs="Times New Roman"/>
        </w:rPr>
        <w:t xml:space="preserve"> and consensual practices.’</w:t>
      </w:r>
      <w:r w:rsidRPr="0037342F">
        <w:rPr>
          <w:rStyle w:val="FootnoteReference"/>
          <w:rFonts w:ascii="Times New Roman" w:hAnsi="Times New Roman" w:cs="Times New Roman"/>
        </w:rPr>
        <w:footnoteReference w:id="75"/>
      </w:r>
      <w:r w:rsidRPr="0037342F">
        <w:rPr>
          <w:rFonts w:ascii="Times New Roman" w:hAnsi="Times New Roman" w:cs="Times New Roman"/>
        </w:rPr>
        <w:t xml:space="preserve"> </w:t>
      </w:r>
      <w:r w:rsidRPr="0037342F">
        <w:rPr>
          <w:rFonts w:ascii="Times New Roman" w:eastAsia="Times New Roman" w:hAnsi="Times New Roman" w:cs="Times New Roman"/>
          <w:shd w:val="clear" w:color="auto" w:fill="FFFFFF"/>
        </w:rPr>
        <w:t>Erotic asphyxiation, non-fatal strangulation for sexual pleasure, is often incorrectly portra</w:t>
      </w:r>
      <w:r>
        <w:rPr>
          <w:rFonts w:ascii="Times New Roman" w:eastAsia="Times New Roman" w:hAnsi="Times New Roman" w:cs="Times New Roman"/>
          <w:shd w:val="clear" w:color="auto" w:fill="FFFFFF"/>
        </w:rPr>
        <w:t>yed as a common feature of BDSM. Y</w:t>
      </w:r>
      <w:r w:rsidRPr="0037342F">
        <w:rPr>
          <w:rFonts w:ascii="Times New Roman" w:eastAsia="Times New Roman" w:hAnsi="Times New Roman" w:cs="Times New Roman"/>
          <w:shd w:val="clear" w:color="auto" w:fill="FFFFFF"/>
        </w:rPr>
        <w:t>et, like other dangerous and controversial activities, it is considered ‘</w:t>
      </w:r>
      <w:proofErr w:type="spellStart"/>
      <w:r w:rsidRPr="0037342F">
        <w:rPr>
          <w:rFonts w:ascii="Times New Roman" w:eastAsia="Times New Roman" w:hAnsi="Times New Roman" w:cs="Times New Roman"/>
          <w:shd w:val="clear" w:color="auto" w:fill="FFFFFF"/>
        </w:rPr>
        <w:t>edgeplay</w:t>
      </w:r>
      <w:proofErr w:type="spellEnd"/>
      <w:r w:rsidRPr="0037342F">
        <w:rPr>
          <w:rFonts w:ascii="Times New Roman" w:eastAsia="Times New Roman" w:hAnsi="Times New Roman" w:cs="Times New Roman"/>
          <w:shd w:val="clear" w:color="auto" w:fill="FFFFFF"/>
        </w:rPr>
        <w:t>,’ at the limits of acceptability within BDSM.</w:t>
      </w:r>
      <w:r w:rsidRPr="0037342F">
        <w:rPr>
          <w:rStyle w:val="FootnoteReference"/>
          <w:rFonts w:ascii="Times New Roman" w:eastAsia="Times New Roman" w:hAnsi="Times New Roman" w:cs="Times New Roman"/>
          <w:shd w:val="clear" w:color="auto" w:fill="FFFFFF"/>
        </w:rPr>
        <w:footnoteReference w:id="76"/>
      </w:r>
      <w:r w:rsidRPr="0037342F">
        <w:rPr>
          <w:rFonts w:ascii="Times New Roman" w:eastAsia="Times New Roman" w:hAnsi="Times New Roman" w:cs="Times New Roman"/>
          <w:shd w:val="clear" w:color="auto" w:fill="FFFFFF"/>
        </w:rPr>
        <w:t xml:space="preserve"> Contrary to popular belief, most BDSM practitioners are generally risk-adverse and follow strict rules, usually avoiding intoxication or loss of control, whilst communication, consent and safety are key.</w:t>
      </w:r>
      <w:r w:rsidRPr="0037342F">
        <w:rPr>
          <w:rStyle w:val="FootnoteReference"/>
          <w:rFonts w:ascii="Times New Roman" w:eastAsia="Times New Roman" w:hAnsi="Times New Roman" w:cs="Times New Roman"/>
          <w:shd w:val="clear" w:color="auto" w:fill="FFFFFF"/>
        </w:rPr>
        <w:footnoteReference w:id="77"/>
      </w:r>
      <w:r w:rsidRPr="0037342F">
        <w:rPr>
          <w:rFonts w:ascii="Times New Roman" w:eastAsia="Times New Roman" w:hAnsi="Times New Roman" w:cs="Times New Roman"/>
          <w:shd w:val="clear" w:color="auto" w:fill="FFFFFF"/>
        </w:rPr>
        <w:t xml:space="preserve"> </w:t>
      </w:r>
      <w:r w:rsidRPr="0037342F">
        <w:rPr>
          <w:rFonts w:ascii="Times New Roman" w:hAnsi="Times New Roman" w:cs="Times New Roman"/>
        </w:rPr>
        <w:t>The BDSM community endorses a strong culture of clear, affirmative, ongoing consent, advocating guidelines which ensure that no participant forces another beyond their limits and creating the difference between BDSM and abuse.</w:t>
      </w:r>
      <w:r w:rsidRPr="0037342F">
        <w:rPr>
          <w:rStyle w:val="FootnoteReference"/>
          <w:rFonts w:ascii="Times New Roman" w:hAnsi="Times New Roman" w:cs="Times New Roman"/>
        </w:rPr>
        <w:footnoteReference w:id="78"/>
      </w:r>
      <w:r w:rsidRPr="0037342F">
        <w:rPr>
          <w:rFonts w:ascii="Times New Roman" w:hAnsi="Times New Roman" w:cs="Times New Roman"/>
        </w:rPr>
        <w:t xml:space="preserve"> BDSM participants commonly negotiate boundaries in advance, deciding what activities they are willing to engage in and to what degree of pain. They usually agree a safe word (selecting a word not normally used in this context), which, when spoken by any participant indicates immediate retraction of their consent and signals that activities should </w:t>
      </w:r>
      <w:r w:rsidRPr="0037342F">
        <w:rPr>
          <w:rFonts w:ascii="Times New Roman" w:hAnsi="Times New Roman" w:cs="Times New Roman"/>
        </w:rPr>
        <w:lastRenderedPageBreak/>
        <w:t>cease immediately.</w:t>
      </w:r>
      <w:r w:rsidRPr="0037342F">
        <w:rPr>
          <w:rStyle w:val="FootnoteReference"/>
          <w:rFonts w:ascii="Times New Roman" w:hAnsi="Times New Roman" w:cs="Times New Roman"/>
        </w:rPr>
        <w:footnoteReference w:id="79"/>
      </w:r>
      <w:r w:rsidRPr="0037342F">
        <w:rPr>
          <w:rFonts w:ascii="Times New Roman" w:hAnsi="Times New Roman" w:cs="Times New Roman"/>
        </w:rPr>
        <w:t xml:space="preserve"> It is also important for participants to check in with one another </w:t>
      </w:r>
      <w:r>
        <w:rPr>
          <w:rFonts w:ascii="Times New Roman" w:hAnsi="Times New Roman" w:cs="Times New Roman"/>
        </w:rPr>
        <w:t>t</w:t>
      </w:r>
      <w:r w:rsidRPr="0037342F">
        <w:rPr>
          <w:rFonts w:ascii="Times New Roman" w:hAnsi="Times New Roman" w:cs="Times New Roman"/>
        </w:rPr>
        <w:t>o ensure they are still enjoying the activities.</w:t>
      </w:r>
    </w:p>
    <w:p w14:paraId="6D7E21E1" w14:textId="77777777" w:rsidR="00EE36C7" w:rsidRPr="0037342F" w:rsidRDefault="00EE36C7" w:rsidP="00EE36C7">
      <w:pPr>
        <w:spacing w:line="360" w:lineRule="auto"/>
        <w:ind w:firstLine="720"/>
        <w:contextualSpacing/>
        <w:jc w:val="both"/>
        <w:rPr>
          <w:rFonts w:ascii="Times New Roman" w:hAnsi="Times New Roman" w:cs="Times New Roman"/>
        </w:rPr>
      </w:pPr>
    </w:p>
    <w:p w14:paraId="1AE6B3F8" w14:textId="64B80615" w:rsidR="00EE36C7" w:rsidRPr="0037342F" w:rsidRDefault="00EE36C7" w:rsidP="00EE36C7">
      <w:pPr>
        <w:spacing w:line="360" w:lineRule="auto"/>
        <w:contextualSpacing/>
        <w:jc w:val="both"/>
        <w:rPr>
          <w:rFonts w:ascii="Times New Roman" w:hAnsi="Times New Roman" w:cs="Times New Roman"/>
          <w:lang w:val="en-US"/>
        </w:rPr>
      </w:pPr>
      <w:r w:rsidRPr="0037342F">
        <w:rPr>
          <w:rFonts w:ascii="Times New Roman" w:hAnsi="Times New Roman" w:cs="Times New Roman"/>
        </w:rPr>
        <w:t>Moreover, the purpose of erotic asphyxiation in genuine BDSM, namely, ‘light headedness that comes when one is taken to the point of unconsciousness, but not past it’ is also frequently misconstrued.</w:t>
      </w:r>
      <w:r w:rsidRPr="0037342F">
        <w:rPr>
          <w:rStyle w:val="FootnoteReference"/>
          <w:rFonts w:ascii="Times New Roman" w:hAnsi="Times New Roman" w:cs="Times New Roman"/>
        </w:rPr>
        <w:footnoteReference w:id="80"/>
      </w:r>
      <w:r w:rsidRPr="0037342F">
        <w:rPr>
          <w:rFonts w:ascii="Times New Roman" w:hAnsi="Times New Roman" w:cs="Times New Roman"/>
        </w:rPr>
        <w:t xml:space="preserve"> Once someone is unconscious, consent can no longer be given, safe words can no longer be communicated, and one can easily take advantage o</w:t>
      </w:r>
      <w:r w:rsidR="007E7313">
        <w:rPr>
          <w:rFonts w:ascii="Times New Roman" w:hAnsi="Times New Roman" w:cs="Times New Roman"/>
        </w:rPr>
        <w:t>f</w:t>
      </w:r>
      <w:r w:rsidRPr="0037342F">
        <w:rPr>
          <w:rFonts w:ascii="Times New Roman" w:hAnsi="Times New Roman" w:cs="Times New Roman"/>
        </w:rPr>
        <w:t xml:space="preserve"> someone in such a vulnerable position. People can die when sadomasochistic encounters go too far, therefore, safe words, communication, and check-ins are crucial.</w:t>
      </w:r>
      <w:r w:rsidRPr="0037342F">
        <w:rPr>
          <w:rStyle w:val="FootnoteReference"/>
          <w:rFonts w:ascii="Times New Roman" w:hAnsi="Times New Roman" w:cs="Times New Roman"/>
        </w:rPr>
        <w:footnoteReference w:id="81"/>
      </w:r>
      <w:r w:rsidRPr="0037342F">
        <w:rPr>
          <w:rFonts w:ascii="Times New Roman" w:hAnsi="Times New Roman" w:cs="Times New Roman"/>
        </w:rPr>
        <w:t xml:space="preserve"> Genuine BDSM practitioners value knowledge-sharing and some BDSM communities hold workshops, where experienced participants mentor newcomers on safe techniques and basic medical knowledge, while aftercare, such as hydration, sustenance, quiet, physical contact, is also promoted.</w:t>
      </w:r>
      <w:r w:rsidRPr="0037342F">
        <w:rPr>
          <w:rStyle w:val="FootnoteReference"/>
          <w:rFonts w:ascii="Times New Roman" w:hAnsi="Times New Roman" w:cs="Times New Roman"/>
        </w:rPr>
        <w:footnoteReference w:id="82"/>
      </w:r>
      <w:r w:rsidRPr="0037342F">
        <w:rPr>
          <w:rFonts w:ascii="Times New Roman" w:hAnsi="Times New Roman" w:cs="Times New Roman"/>
        </w:rPr>
        <w:t xml:space="preserve"> </w:t>
      </w:r>
    </w:p>
    <w:p w14:paraId="1F92F50E" w14:textId="77777777" w:rsidR="00EE36C7" w:rsidRPr="0037342F" w:rsidRDefault="00EE36C7" w:rsidP="00EE36C7">
      <w:pPr>
        <w:spacing w:line="360" w:lineRule="auto"/>
        <w:contextualSpacing/>
        <w:jc w:val="both"/>
        <w:rPr>
          <w:rFonts w:ascii="Times New Roman" w:hAnsi="Times New Roman" w:cs="Times New Roman"/>
          <w:b/>
          <w:bCs/>
        </w:rPr>
      </w:pPr>
    </w:p>
    <w:p w14:paraId="63CFEA42" w14:textId="77777777" w:rsidR="00EE36C7" w:rsidRPr="0037342F" w:rsidRDefault="00EE36C7" w:rsidP="00EE36C7">
      <w:pPr>
        <w:spacing w:line="360" w:lineRule="auto"/>
        <w:contextualSpacing/>
        <w:jc w:val="both"/>
        <w:rPr>
          <w:rFonts w:ascii="Times New Roman" w:hAnsi="Times New Roman" w:cs="Times New Roman"/>
          <w:b/>
          <w:bCs/>
        </w:rPr>
      </w:pPr>
      <w:r w:rsidRPr="0037342F">
        <w:rPr>
          <w:rFonts w:ascii="Times New Roman" w:hAnsi="Times New Roman" w:cs="Times New Roman"/>
          <w:b/>
          <w:bCs/>
        </w:rPr>
        <w:t xml:space="preserve">The importance of education </w:t>
      </w:r>
    </w:p>
    <w:p w14:paraId="3A5ACD74" w14:textId="1BD0B367" w:rsidR="00EE36C7"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In light of the preceding section it is apparent that all professionals involved in the investigation and prosecution of ‘rough sex’ cases would benefit from more knowledge about BDSM</w:t>
      </w:r>
      <w:r w:rsidR="007E7313">
        <w:rPr>
          <w:rFonts w:ascii="Times New Roman" w:hAnsi="Times New Roman" w:cs="Times New Roman"/>
        </w:rPr>
        <w:t xml:space="preserve">, and </w:t>
      </w:r>
      <w:r w:rsidRPr="0037342F">
        <w:rPr>
          <w:rFonts w:ascii="Times New Roman" w:hAnsi="Times New Roman" w:cs="Times New Roman"/>
        </w:rPr>
        <w:t xml:space="preserve">domestic abuse and coercive control </w:t>
      </w:r>
      <w:r w:rsidR="007E7313">
        <w:rPr>
          <w:rFonts w:ascii="Times New Roman" w:hAnsi="Times New Roman" w:cs="Times New Roman"/>
        </w:rPr>
        <w:t xml:space="preserve">- </w:t>
      </w:r>
      <w:r w:rsidRPr="0037342F">
        <w:rPr>
          <w:rFonts w:ascii="Times New Roman" w:hAnsi="Times New Roman" w:cs="Times New Roman"/>
        </w:rPr>
        <w:t>victims of which may contradict statements through fear of their abusers.</w:t>
      </w:r>
      <w:r w:rsidRPr="0037342F">
        <w:rPr>
          <w:rStyle w:val="FootnoteReference"/>
          <w:rFonts w:ascii="Times New Roman" w:hAnsi="Times New Roman" w:cs="Times New Roman"/>
        </w:rPr>
        <w:footnoteReference w:id="83"/>
      </w:r>
      <w:r w:rsidRPr="0037342F">
        <w:rPr>
          <w:rFonts w:ascii="Times New Roman" w:hAnsi="Times New Roman" w:cs="Times New Roman"/>
        </w:rPr>
        <w:t xml:space="preserve"> It is vital police know the appropriate questions to ask alleged victims, but also of suspects. This would include inquiring whether negotiations on BDSM activity took place and what they covered; what limits were set; if a safe word was agreed and used; whether checking-in took place; and what steps participants took to minimise potential risks.</w:t>
      </w:r>
      <w:r w:rsidRPr="0037342F">
        <w:rPr>
          <w:rStyle w:val="FootnoteReference"/>
          <w:rFonts w:ascii="Times New Roman" w:hAnsi="Times New Roman" w:cs="Times New Roman"/>
        </w:rPr>
        <w:footnoteReference w:id="84"/>
      </w:r>
      <w:r>
        <w:rPr>
          <w:rFonts w:ascii="Times New Roman" w:hAnsi="Times New Roman" w:cs="Times New Roman"/>
        </w:rPr>
        <w:t xml:space="preserve"> </w:t>
      </w:r>
    </w:p>
    <w:p w14:paraId="4888AF0F" w14:textId="77777777" w:rsidR="00EE36C7" w:rsidRDefault="00EE36C7" w:rsidP="00EE36C7">
      <w:pPr>
        <w:spacing w:line="360" w:lineRule="auto"/>
        <w:contextualSpacing/>
        <w:jc w:val="both"/>
        <w:rPr>
          <w:rFonts w:ascii="Times New Roman" w:hAnsi="Times New Roman" w:cs="Times New Roman"/>
        </w:rPr>
      </w:pPr>
    </w:p>
    <w:p w14:paraId="3EB0BD13" w14:textId="10A0F3CF" w:rsidR="00EE36C7" w:rsidRPr="00CC30DF" w:rsidRDefault="00EE36C7" w:rsidP="00CC30DF">
      <w:pPr>
        <w:pStyle w:val="NoSpacing"/>
        <w:spacing w:line="360" w:lineRule="auto"/>
        <w:jc w:val="both"/>
        <w:rPr>
          <w:rFonts w:ascii="Times New Roman" w:hAnsi="Times New Roman" w:cs="Times New Roman"/>
          <w:shd w:val="clear" w:color="auto" w:fill="FFFFFF"/>
        </w:rPr>
      </w:pPr>
      <w:r w:rsidRPr="00CC30DF">
        <w:rPr>
          <w:rFonts w:ascii="Times New Roman" w:hAnsi="Times New Roman" w:cs="Times New Roman"/>
        </w:rPr>
        <w:t>Counsel and judges should also receive training: p</w:t>
      </w:r>
      <w:r w:rsidRPr="00CC30DF">
        <w:rPr>
          <w:rFonts w:ascii="Times New Roman" w:hAnsi="Times New Roman" w:cs="Times New Roman"/>
          <w:shd w:val="clear" w:color="auto" w:fill="FFFFFF"/>
        </w:rPr>
        <w:t xml:space="preserve">rosecutors particularly would benefit from specialist psychological coaching in how to robustly challenge defence counsel’s use of rape </w:t>
      </w:r>
      <w:r w:rsidRPr="00CC30DF">
        <w:rPr>
          <w:rFonts w:ascii="Times New Roman" w:hAnsi="Times New Roman" w:cs="Times New Roman"/>
          <w:shd w:val="clear" w:color="auto" w:fill="FFFFFF"/>
        </w:rPr>
        <w:lastRenderedPageBreak/>
        <w:t>myths and BDSM narratives.</w:t>
      </w:r>
      <w:r w:rsidRPr="00CC30DF">
        <w:rPr>
          <w:rStyle w:val="FootnoteReference"/>
          <w:rFonts w:ascii="Times New Roman" w:eastAsia="Times New Roman" w:hAnsi="Times New Roman" w:cs="Times New Roman"/>
          <w:shd w:val="clear" w:color="auto" w:fill="FFFFFF"/>
        </w:rPr>
        <w:footnoteReference w:id="85"/>
      </w:r>
      <w:r w:rsidRPr="00CC30DF">
        <w:rPr>
          <w:rFonts w:ascii="Times New Roman" w:hAnsi="Times New Roman" w:cs="Times New Roman"/>
          <w:shd w:val="clear" w:color="auto" w:fill="FFFFFF"/>
        </w:rPr>
        <w:t xml:space="preserve"> Juror training</w:t>
      </w:r>
      <w:r w:rsidR="00CC30DF">
        <w:rPr>
          <w:rFonts w:ascii="Times New Roman" w:hAnsi="Times New Roman" w:cs="Times New Roman"/>
          <w:shd w:val="clear" w:color="auto" w:fill="FFFFFF"/>
        </w:rPr>
        <w:t xml:space="preserve">, </w:t>
      </w:r>
      <w:r w:rsidRPr="00CC30DF">
        <w:rPr>
          <w:rFonts w:ascii="Times New Roman" w:hAnsi="Times New Roman" w:cs="Times New Roman"/>
          <w:shd w:val="clear" w:color="auto" w:fill="FFFFFF"/>
        </w:rPr>
        <w:t xml:space="preserve">guidelines and expert witnesses on rape myths, intimate partner violence, coercive control and BDSM may also prove useful. The recommendations contained within the 2019 Gillen Review for brief training on rape myths for jurors in sexual offences trials in Northern Ireland, perhaps a </w:t>
      </w:r>
      <w:r w:rsidR="00843343" w:rsidRPr="00CC30DF">
        <w:rPr>
          <w:rFonts w:ascii="Times New Roman" w:hAnsi="Times New Roman" w:cs="Times New Roman"/>
          <w:shd w:val="clear" w:color="auto" w:fill="FFFFFF"/>
        </w:rPr>
        <w:t xml:space="preserve">concise </w:t>
      </w:r>
      <w:r w:rsidRPr="00CC30DF">
        <w:rPr>
          <w:rFonts w:ascii="Times New Roman" w:hAnsi="Times New Roman" w:cs="Times New Roman"/>
          <w:shd w:val="clear" w:color="auto" w:fill="FFFFFF"/>
        </w:rPr>
        <w:t>30-minute video and written judicial guidelines, could be adapted and extended to jurors in all trials in which the defendant is claiming a ‘rough sex’ defence.</w:t>
      </w:r>
      <w:r w:rsidRPr="00CC30DF">
        <w:rPr>
          <w:rStyle w:val="FootnoteReference"/>
          <w:rFonts w:ascii="Times New Roman" w:eastAsia="Times New Roman" w:hAnsi="Times New Roman" w:cs="Times New Roman"/>
          <w:shd w:val="clear" w:color="auto" w:fill="FFFFFF"/>
        </w:rPr>
        <w:footnoteReference w:id="86"/>
      </w:r>
      <w:r w:rsidRPr="00CC30DF">
        <w:rPr>
          <w:rFonts w:ascii="Times New Roman" w:hAnsi="Times New Roman" w:cs="Times New Roman"/>
          <w:shd w:val="clear" w:color="auto" w:fill="FFFFFF"/>
        </w:rPr>
        <w:t xml:space="preserve"> The issue of expert witnesses is more contested and open to fears of costly battles between opposing professionals testifying for defence and prosecution; nevertheless, they could be considered on an individual case-by-case basis.</w:t>
      </w:r>
      <w:r w:rsidRPr="00CC30DF">
        <w:rPr>
          <w:rStyle w:val="FootnoteReference"/>
          <w:rFonts w:ascii="Times New Roman" w:eastAsia="Times New Roman" w:hAnsi="Times New Roman" w:cs="Times New Roman"/>
          <w:shd w:val="clear" w:color="auto" w:fill="FFFFFF"/>
        </w:rPr>
        <w:footnoteReference w:id="87"/>
      </w:r>
      <w:r w:rsidRPr="00CC30DF">
        <w:rPr>
          <w:rFonts w:ascii="Times New Roman" w:hAnsi="Times New Roman" w:cs="Times New Roman"/>
          <w:shd w:val="clear" w:color="auto" w:fill="FFFFFF"/>
        </w:rPr>
        <w:t xml:space="preserve"> However, any judicial directions, jury education and expert testimony must be neutral and non-case specific, hence, their impact could be weakened by a skilled defence argument tailored to specific case facts</w:t>
      </w:r>
      <w:r w:rsidR="007E7313">
        <w:rPr>
          <w:rFonts w:ascii="Times New Roman" w:hAnsi="Times New Roman" w:cs="Times New Roman"/>
          <w:shd w:val="clear" w:color="auto" w:fill="FFFFFF"/>
        </w:rPr>
        <w:t xml:space="preserve"> - t</w:t>
      </w:r>
      <w:r w:rsidRPr="00CC30DF">
        <w:rPr>
          <w:rFonts w:ascii="Times New Roman" w:hAnsi="Times New Roman" w:cs="Times New Roman"/>
          <w:shd w:val="clear" w:color="auto" w:fill="FFFFFF"/>
        </w:rPr>
        <w:t xml:space="preserve">hus, training prosecutors to </w:t>
      </w:r>
      <w:r w:rsidR="00CC30DF" w:rsidRPr="00CC30DF">
        <w:rPr>
          <w:rFonts w:ascii="Times New Roman" w:hAnsi="Times New Roman" w:cs="Times New Roman"/>
          <w:shd w:val="clear" w:color="auto" w:fill="FFFFFF"/>
        </w:rPr>
        <w:t>refute</w:t>
      </w:r>
      <w:r w:rsidRPr="00CC30DF">
        <w:rPr>
          <w:rFonts w:ascii="Times New Roman" w:hAnsi="Times New Roman" w:cs="Times New Roman"/>
          <w:shd w:val="clear" w:color="auto" w:fill="FFFFFF"/>
        </w:rPr>
        <w:t> rape myths is key.</w:t>
      </w:r>
      <w:r w:rsidRPr="00CC30DF">
        <w:rPr>
          <w:rStyle w:val="FootnoteReference"/>
          <w:rFonts w:ascii="Times New Roman" w:eastAsia="Times New Roman" w:hAnsi="Times New Roman" w:cs="Times New Roman"/>
          <w:shd w:val="clear" w:color="auto" w:fill="FFFFFF"/>
        </w:rPr>
        <w:footnoteReference w:id="88"/>
      </w:r>
      <w:r w:rsidRPr="00CC30DF">
        <w:rPr>
          <w:rFonts w:ascii="Times New Roman" w:hAnsi="Times New Roman" w:cs="Times New Roman"/>
          <w:shd w:val="clear" w:color="auto" w:fill="FFFFFF"/>
        </w:rPr>
        <w:t> </w:t>
      </w:r>
    </w:p>
    <w:p w14:paraId="1D524797" w14:textId="77777777" w:rsidR="00EE36C7" w:rsidRPr="0037342F" w:rsidRDefault="00EE36C7" w:rsidP="00EE36C7">
      <w:pPr>
        <w:spacing w:line="360" w:lineRule="auto"/>
        <w:ind w:firstLine="720"/>
        <w:contextualSpacing/>
        <w:jc w:val="both"/>
        <w:rPr>
          <w:rFonts w:ascii="Times New Roman" w:eastAsia="Times New Roman" w:hAnsi="Times New Roman" w:cs="Times New Roman"/>
        </w:rPr>
      </w:pPr>
    </w:p>
    <w:p w14:paraId="78911C7B" w14:textId="70C025A4" w:rsidR="00EE36C7" w:rsidRDefault="00EE36C7" w:rsidP="00EE36C7">
      <w:pPr>
        <w:spacing w:line="360" w:lineRule="auto"/>
        <w:contextualSpacing/>
        <w:jc w:val="both"/>
        <w:rPr>
          <w:rFonts w:ascii="Times New Roman" w:hAnsi="Times New Roman" w:cs="Times New Roman"/>
        </w:rPr>
      </w:pPr>
      <w:r w:rsidRPr="0037342F">
        <w:rPr>
          <w:rFonts w:ascii="Times New Roman" w:hAnsi="Times New Roman" w:cs="Times New Roman"/>
        </w:rPr>
        <w:t xml:space="preserve">In addition to education on BDSM, domestic abuse and coercive control training should also cover consent. </w:t>
      </w:r>
      <w:r>
        <w:rPr>
          <w:rFonts w:ascii="Times New Roman" w:hAnsi="Times New Roman" w:cs="Times New Roman"/>
        </w:rPr>
        <w:t xml:space="preserve">Although the legislative parameters of consent within the context of offences against the person require attention, work can still be undertaken from an educational perspective drawing on the rich literature that has developed on sexual consent. </w:t>
      </w:r>
      <w:r w:rsidRPr="0037342F">
        <w:rPr>
          <w:rFonts w:ascii="Times New Roman" w:hAnsi="Times New Roman" w:cs="Times New Roman"/>
        </w:rPr>
        <w:t>The affirmative model of consent emphasises communication and requires active signals of agreement before an encounter is to be considered consensual, similar to the active affirmations used in safe, consensual BDSM.</w:t>
      </w:r>
      <w:r w:rsidRPr="0037342F">
        <w:rPr>
          <w:rStyle w:val="FootnoteReference"/>
          <w:rFonts w:ascii="Times New Roman" w:hAnsi="Times New Roman" w:cs="Times New Roman"/>
        </w:rPr>
        <w:footnoteReference w:id="89"/>
      </w:r>
      <w:r w:rsidRPr="0037342F">
        <w:rPr>
          <w:rFonts w:ascii="Times New Roman" w:hAnsi="Times New Roman" w:cs="Times New Roman"/>
        </w:rPr>
        <w:t xml:space="preserve"> Crucially, affirmative consent is active, clearly sought and received and manifested through positive words or action, not implied from</w:t>
      </w:r>
      <w:r>
        <w:rPr>
          <w:rFonts w:ascii="Times New Roman" w:hAnsi="Times New Roman" w:cs="Times New Roman"/>
        </w:rPr>
        <w:t xml:space="preserve"> dress or previous conduct, and</w:t>
      </w:r>
      <w:r w:rsidRPr="0037342F">
        <w:rPr>
          <w:rFonts w:ascii="Times New Roman" w:hAnsi="Times New Roman" w:cs="Times New Roman"/>
        </w:rPr>
        <w:t xml:space="preserve"> most importantly, it is ongoing and can be withdrawn at any point.</w:t>
      </w:r>
      <w:r w:rsidRPr="0037342F">
        <w:rPr>
          <w:rStyle w:val="FootnoteReference"/>
          <w:rFonts w:ascii="Times New Roman" w:hAnsi="Times New Roman" w:cs="Times New Roman"/>
        </w:rPr>
        <w:footnoteReference w:id="90"/>
      </w:r>
      <w:r w:rsidRPr="0037342F">
        <w:rPr>
          <w:rFonts w:ascii="Times New Roman" w:hAnsi="Times New Roman" w:cs="Times New Roman"/>
          <w:lang w:val="en-US"/>
        </w:rPr>
        <w:t xml:space="preserve"> </w:t>
      </w:r>
      <w:r w:rsidRPr="0037342F">
        <w:rPr>
          <w:rFonts w:ascii="Times New Roman" w:hAnsi="Times New Roman" w:cs="Times New Roman"/>
        </w:rPr>
        <w:t>Consent under this approach is a ‘performative act, rather than a state of mind, and if there is no positive affirmation on the part of the complainant there can be no consent and no reasonable belief in consent.’</w:t>
      </w:r>
      <w:r w:rsidRPr="0037342F">
        <w:rPr>
          <w:rStyle w:val="FootnoteReference"/>
          <w:rFonts w:ascii="Times New Roman" w:hAnsi="Times New Roman" w:cs="Times New Roman"/>
        </w:rPr>
        <w:footnoteReference w:id="91"/>
      </w:r>
      <w:r w:rsidRPr="0037342F">
        <w:rPr>
          <w:rFonts w:ascii="Times New Roman" w:hAnsi="Times New Roman" w:cs="Times New Roman"/>
        </w:rPr>
        <w:t xml:space="preserve"> The use of this model would help protect victims of domestic abuse and violence, </w:t>
      </w:r>
      <w:r w:rsidRPr="0037342F">
        <w:rPr>
          <w:rFonts w:ascii="Times New Roman" w:hAnsi="Times New Roman" w:cs="Times New Roman"/>
        </w:rPr>
        <w:lastRenderedPageBreak/>
        <w:t xml:space="preserve">making it harder for defendants who did not receive proper consent or who did not respect withdrawal of consent to justify their actions. </w:t>
      </w:r>
    </w:p>
    <w:p w14:paraId="1670F92B" w14:textId="77777777" w:rsidR="00843343" w:rsidRPr="0037342F" w:rsidRDefault="00843343" w:rsidP="00EE36C7">
      <w:pPr>
        <w:spacing w:line="360" w:lineRule="auto"/>
        <w:contextualSpacing/>
        <w:jc w:val="both"/>
        <w:rPr>
          <w:rFonts w:ascii="Times New Roman" w:hAnsi="Times New Roman" w:cs="Times New Roman"/>
        </w:rPr>
      </w:pPr>
    </w:p>
    <w:p w14:paraId="51BE5557" w14:textId="6C9125F0" w:rsidR="007709C4" w:rsidRPr="0037342F" w:rsidRDefault="00EE36C7" w:rsidP="00EE36C7">
      <w:pPr>
        <w:spacing w:line="360" w:lineRule="auto"/>
        <w:contextualSpacing/>
        <w:jc w:val="both"/>
        <w:rPr>
          <w:rFonts w:ascii="Times New Roman" w:eastAsia="Times New Roman" w:hAnsi="Times New Roman" w:cs="Times New Roman"/>
          <w:lang w:val="en-US"/>
        </w:rPr>
      </w:pPr>
      <w:r w:rsidRPr="0037342F">
        <w:rPr>
          <w:rFonts w:ascii="Times New Roman" w:hAnsi="Times New Roman" w:cs="Times New Roman"/>
        </w:rPr>
        <w:t xml:space="preserve">However, as acknowledged by </w:t>
      </w:r>
      <w:r w:rsidR="002470A5">
        <w:rPr>
          <w:rFonts w:ascii="Times New Roman" w:hAnsi="Times New Roman" w:cs="Times New Roman"/>
        </w:rPr>
        <w:t xml:space="preserve">Sir John </w:t>
      </w:r>
      <w:r w:rsidRPr="0037342F">
        <w:rPr>
          <w:rFonts w:ascii="Times New Roman" w:hAnsi="Times New Roman" w:cs="Times New Roman"/>
        </w:rPr>
        <w:t>Gillen in his recent report on sexual offences, the problem of belief in rape myths, and thus susceptibility to false BDSM scripts, is wider than the criminal justice system.</w:t>
      </w:r>
      <w:r w:rsidRPr="0037342F">
        <w:rPr>
          <w:rStyle w:val="FootnoteReference"/>
          <w:rFonts w:ascii="Times New Roman" w:hAnsi="Times New Roman" w:cs="Times New Roman"/>
        </w:rPr>
        <w:footnoteReference w:id="92"/>
      </w:r>
      <w:r w:rsidRPr="0037342F">
        <w:rPr>
          <w:rFonts w:ascii="Times New Roman" w:hAnsi="Times New Roman" w:cs="Times New Roman"/>
        </w:rPr>
        <w:t xml:space="preserve"> Northern Ireland is an acutely patriarchal and deeply morally conservative society, whose judgmental attitude to sexual matters </w:t>
      </w:r>
      <w:r w:rsidR="00843343">
        <w:rPr>
          <w:rFonts w:ascii="Times New Roman" w:hAnsi="Times New Roman" w:cs="Times New Roman"/>
        </w:rPr>
        <w:t>can ultimately lead</w:t>
      </w:r>
      <w:r w:rsidRPr="0037342F">
        <w:rPr>
          <w:rFonts w:ascii="Times New Roman" w:hAnsi="Times New Roman" w:cs="Times New Roman"/>
        </w:rPr>
        <w:t xml:space="preserve"> to ignorance and victim-blaming.</w:t>
      </w:r>
      <w:r w:rsidRPr="0037342F">
        <w:rPr>
          <w:rStyle w:val="FootnoteReference"/>
          <w:rFonts w:ascii="Times New Roman" w:hAnsi="Times New Roman" w:cs="Times New Roman"/>
        </w:rPr>
        <w:footnoteReference w:id="93"/>
      </w:r>
      <w:r w:rsidRPr="0037342F">
        <w:rPr>
          <w:rFonts w:ascii="Times New Roman" w:hAnsi="Times New Roman" w:cs="Times New Roman"/>
        </w:rPr>
        <w:t xml:space="preserve"> Beyond the biological facts, sex education in Northern Irish schools is left to the discretion of individual schools, which, due to religious influence and pressure from parents, may omit highly relevant topics and curtail open discussion.</w:t>
      </w:r>
      <w:r w:rsidRPr="0037342F">
        <w:rPr>
          <w:rStyle w:val="FootnoteReference"/>
          <w:rFonts w:ascii="Times New Roman" w:hAnsi="Times New Roman" w:cs="Times New Roman"/>
        </w:rPr>
        <w:footnoteReference w:id="94"/>
      </w:r>
      <w:r w:rsidRPr="0037342F">
        <w:rPr>
          <w:rFonts w:ascii="Times New Roman" w:hAnsi="Times New Roman" w:cs="Times New Roman"/>
        </w:rPr>
        <w:t xml:space="preserve"> Parents may also request that their child be withdrawn from the sexual education programme altogether.</w:t>
      </w:r>
      <w:r w:rsidRPr="0037342F">
        <w:rPr>
          <w:rStyle w:val="FootnoteReference"/>
          <w:rFonts w:ascii="Times New Roman" w:hAnsi="Times New Roman" w:cs="Times New Roman"/>
        </w:rPr>
        <w:footnoteReference w:id="95"/>
      </w:r>
      <w:r w:rsidRPr="0037342F">
        <w:rPr>
          <w:rFonts w:ascii="Times New Roman" w:hAnsi="Times New Roman" w:cs="Times New Roman"/>
        </w:rPr>
        <w:t xml:space="preserve"> Northern Ireland is therefore not meeting international recommendations to ensure that </w:t>
      </w:r>
      <w:r w:rsidRPr="0037342F">
        <w:rPr>
          <w:rFonts w:ascii="Times New Roman" w:eastAsia="Times New Roman" w:hAnsi="Times New Roman" w:cs="Times New Roman"/>
          <w:lang w:val="en-US"/>
        </w:rPr>
        <w:t>all adolescent girls and boys receive accurate and suitable information to safeguard their health and development ‘which should include information on safe and respectful social and sexual behaviours.’</w:t>
      </w:r>
      <w:r w:rsidRPr="0037342F">
        <w:rPr>
          <w:rStyle w:val="FootnoteReference"/>
          <w:rFonts w:ascii="Times New Roman" w:eastAsia="Times New Roman" w:hAnsi="Times New Roman" w:cs="Times New Roman"/>
          <w:lang w:val="en-US"/>
        </w:rPr>
        <w:footnoteReference w:id="96"/>
      </w:r>
      <w:r w:rsidRPr="0037342F">
        <w:rPr>
          <w:rFonts w:ascii="Times New Roman" w:eastAsia="Times New Roman" w:hAnsi="Times New Roman" w:cs="Times New Roman"/>
          <w:lang w:val="en-US"/>
        </w:rPr>
        <w:t xml:space="preserve"> Hence, well-funded public and age-appropriate school campaigns, such as the Gillen report recommends to combat rape myths, may also be useful to highlight issues around consent and safe sex.</w:t>
      </w:r>
      <w:r w:rsidRPr="0037342F">
        <w:rPr>
          <w:rStyle w:val="FootnoteReference"/>
          <w:rFonts w:ascii="Times New Roman" w:eastAsia="Times New Roman" w:hAnsi="Times New Roman" w:cs="Times New Roman"/>
          <w:lang w:val="en-US"/>
        </w:rPr>
        <w:footnoteReference w:id="97"/>
      </w:r>
      <w:r w:rsidRPr="0037342F">
        <w:rPr>
          <w:rFonts w:ascii="Times New Roman" w:eastAsia="Times New Roman" w:hAnsi="Times New Roman" w:cs="Times New Roman"/>
          <w:lang w:val="en-US"/>
        </w:rPr>
        <w:t xml:space="preserve"> </w:t>
      </w:r>
    </w:p>
    <w:p w14:paraId="4EDF2FC4" w14:textId="77777777" w:rsidR="00EE36C7" w:rsidRPr="0037342F" w:rsidRDefault="00EE36C7" w:rsidP="00EE36C7">
      <w:pPr>
        <w:spacing w:line="360" w:lineRule="auto"/>
        <w:contextualSpacing/>
        <w:jc w:val="both"/>
        <w:rPr>
          <w:rFonts w:ascii="Times New Roman" w:hAnsi="Times New Roman" w:cs="Times New Roman"/>
          <w:color w:val="FF0000"/>
        </w:rPr>
      </w:pPr>
    </w:p>
    <w:p w14:paraId="305026AC" w14:textId="104DDCF9" w:rsidR="00EE36C7" w:rsidRPr="002721C6" w:rsidRDefault="00EE36C7" w:rsidP="002721C6">
      <w:pPr>
        <w:pStyle w:val="paragraph"/>
        <w:spacing w:before="0" w:beforeAutospacing="0" w:after="0" w:afterAutospacing="0" w:line="360" w:lineRule="auto"/>
        <w:ind w:left="426" w:hanging="426"/>
        <w:contextualSpacing/>
        <w:jc w:val="both"/>
        <w:textAlignment w:val="baseline"/>
        <w:rPr>
          <w:i/>
          <w:iCs/>
        </w:rPr>
      </w:pPr>
      <w:r w:rsidRPr="0037342F">
        <w:rPr>
          <w:i/>
          <w:iCs/>
        </w:rPr>
        <w:t xml:space="preserve">4. </w:t>
      </w:r>
      <w:r w:rsidRPr="001C6082">
        <w:rPr>
          <w:rStyle w:val="normaltextrun"/>
          <w:b/>
          <w:bCs/>
          <w:i/>
          <w:iCs/>
        </w:rPr>
        <w:t>Do you consider something different is required for Northern Ireland?  </w:t>
      </w:r>
      <w:r w:rsidRPr="001C6082">
        <w:rPr>
          <w:rStyle w:val="eop"/>
          <w:i/>
          <w:iCs/>
        </w:rPr>
        <w:t> </w:t>
      </w:r>
    </w:p>
    <w:p w14:paraId="0DE85779" w14:textId="57190488" w:rsidR="00EE36C7" w:rsidRDefault="00EE36C7" w:rsidP="00EE36C7">
      <w:pPr>
        <w:pStyle w:val="paragraph"/>
        <w:spacing w:before="0" w:beforeAutospacing="0" w:after="0" w:afterAutospacing="0" w:line="360" w:lineRule="auto"/>
        <w:contextualSpacing/>
        <w:jc w:val="both"/>
        <w:textAlignment w:val="baseline"/>
        <w:rPr>
          <w:rStyle w:val="eop"/>
          <w:color w:val="1A1A1A"/>
        </w:rPr>
      </w:pPr>
      <w:r w:rsidRPr="0037342F">
        <w:rPr>
          <w:rStyle w:val="normaltextrun"/>
          <w:color w:val="1A1A1A"/>
        </w:rPr>
        <w:t>As specified in the consultation outline</w:t>
      </w:r>
      <w:r>
        <w:rPr>
          <w:rStyle w:val="normaltextrun"/>
          <w:color w:val="1A1A1A"/>
        </w:rPr>
        <w:t xml:space="preserve"> and above</w:t>
      </w:r>
      <w:r w:rsidRPr="0037342F">
        <w:rPr>
          <w:rStyle w:val="normaltextrun"/>
          <w:color w:val="1A1A1A"/>
        </w:rPr>
        <w:t>, consent to GBH as a defence should</w:t>
      </w:r>
      <w:r>
        <w:rPr>
          <w:rStyle w:val="normaltextrun"/>
          <w:color w:val="1A1A1A"/>
        </w:rPr>
        <w:t xml:space="preserve"> </w:t>
      </w:r>
      <w:r w:rsidRPr="0037342F">
        <w:rPr>
          <w:rStyle w:val="normaltextrun"/>
          <w:color w:val="1A1A1A"/>
        </w:rPr>
        <w:t>n</w:t>
      </w:r>
      <w:r>
        <w:rPr>
          <w:rStyle w:val="normaltextrun"/>
          <w:color w:val="1A1A1A"/>
        </w:rPr>
        <w:t>o</w:t>
      </w:r>
      <w:r w:rsidRPr="0037342F">
        <w:rPr>
          <w:rStyle w:val="normaltextrun"/>
          <w:color w:val="1A1A1A"/>
        </w:rPr>
        <w:t>t necessarily be outlawed for cases where low-level seriousness of harm occurs,</w:t>
      </w:r>
      <w:r w:rsidRPr="0037342F">
        <w:rPr>
          <w:rStyle w:val="FootnoteReference"/>
          <w:color w:val="1A1A1A"/>
        </w:rPr>
        <w:footnoteReference w:id="98"/>
      </w:r>
      <w:r w:rsidRPr="0037342F">
        <w:rPr>
          <w:rStyle w:val="normaltextrun"/>
          <w:color w:val="1A1A1A"/>
        </w:rPr>
        <w:t xml:space="preserve"> yet there still is a need to have clearly defined </w:t>
      </w:r>
      <w:r>
        <w:rPr>
          <w:rStyle w:val="normaltextrun"/>
          <w:color w:val="1A1A1A"/>
        </w:rPr>
        <w:t>boundaries and limits</w:t>
      </w:r>
      <w:r w:rsidRPr="0037342F">
        <w:rPr>
          <w:rStyle w:val="normaltextrun"/>
          <w:color w:val="1A1A1A"/>
        </w:rPr>
        <w:t xml:space="preserve">. For this reason, we propose clearly and explicitly defining consent based upon the affirmative approach to consent </w:t>
      </w:r>
      <w:r w:rsidR="009C41AA">
        <w:rPr>
          <w:rStyle w:val="normaltextrun"/>
          <w:color w:val="1A1A1A"/>
        </w:rPr>
        <w:t xml:space="preserve">as </w:t>
      </w:r>
      <w:r w:rsidRPr="0037342F">
        <w:rPr>
          <w:rStyle w:val="normaltextrun"/>
          <w:color w:val="1A1A1A"/>
        </w:rPr>
        <w:t xml:space="preserve">outlined </w:t>
      </w:r>
      <w:r w:rsidR="009C41AA">
        <w:rPr>
          <w:rStyle w:val="normaltextrun"/>
          <w:color w:val="1A1A1A"/>
        </w:rPr>
        <w:t xml:space="preserve">in the previous section. </w:t>
      </w:r>
      <w:r>
        <w:rPr>
          <w:rStyle w:val="normaltextrun"/>
          <w:color w:val="1A1A1A"/>
        </w:rPr>
        <w:t>C</w:t>
      </w:r>
      <w:r w:rsidRPr="0037342F">
        <w:rPr>
          <w:rStyle w:val="normaltextrun"/>
          <w:color w:val="1A1A1A"/>
        </w:rPr>
        <w:t xml:space="preserve">larifying and defining limits </w:t>
      </w:r>
      <w:r>
        <w:rPr>
          <w:rStyle w:val="normaltextrun"/>
          <w:color w:val="1A1A1A"/>
        </w:rPr>
        <w:t>on</w:t>
      </w:r>
      <w:r w:rsidRPr="0037342F">
        <w:rPr>
          <w:rStyle w:val="normaltextrun"/>
          <w:color w:val="1A1A1A"/>
        </w:rPr>
        <w:t xml:space="preserve"> </w:t>
      </w:r>
      <w:r>
        <w:rPr>
          <w:rStyle w:val="normaltextrun"/>
          <w:color w:val="1A1A1A"/>
        </w:rPr>
        <w:t xml:space="preserve">the </w:t>
      </w:r>
      <w:r w:rsidRPr="0037342F">
        <w:rPr>
          <w:rStyle w:val="normaltextrun"/>
          <w:color w:val="1A1A1A"/>
        </w:rPr>
        <w:t>us</w:t>
      </w:r>
      <w:r>
        <w:rPr>
          <w:rStyle w:val="normaltextrun"/>
          <w:color w:val="1A1A1A"/>
        </w:rPr>
        <w:t xml:space="preserve">e of consent as a defence will </w:t>
      </w:r>
      <w:r w:rsidRPr="0037342F">
        <w:rPr>
          <w:rStyle w:val="normaltextrun"/>
          <w:color w:val="1A1A1A"/>
        </w:rPr>
        <w:t xml:space="preserve">enable </w:t>
      </w:r>
      <w:r w:rsidRPr="0037342F">
        <w:rPr>
          <w:rStyle w:val="normaltextrun"/>
          <w:color w:val="1A1A1A"/>
        </w:rPr>
        <w:lastRenderedPageBreak/>
        <w:t>prosecutors to identify and separate intentional killings from accidental harms, filtering out those with criminal intent from those where minor harms have resulted from consensual sexual activity.</w:t>
      </w:r>
      <w:r w:rsidRPr="0037342F">
        <w:rPr>
          <w:rStyle w:val="eop"/>
          <w:color w:val="1A1A1A"/>
        </w:rPr>
        <w:t> </w:t>
      </w:r>
    </w:p>
    <w:p w14:paraId="4B7D3409" w14:textId="77777777" w:rsidR="007709C4" w:rsidRDefault="007709C4" w:rsidP="00EE36C7">
      <w:pPr>
        <w:pStyle w:val="paragraph"/>
        <w:spacing w:before="0" w:beforeAutospacing="0" w:after="0" w:afterAutospacing="0" w:line="360" w:lineRule="auto"/>
        <w:contextualSpacing/>
        <w:jc w:val="both"/>
        <w:textAlignment w:val="baseline"/>
        <w:rPr>
          <w:rStyle w:val="eop"/>
          <w:color w:val="1A1A1A"/>
        </w:rPr>
      </w:pPr>
    </w:p>
    <w:p w14:paraId="7ADD3C17" w14:textId="77777777" w:rsidR="007709C4" w:rsidRPr="0037342F" w:rsidRDefault="007709C4" w:rsidP="007709C4">
      <w:pPr>
        <w:pStyle w:val="paragraph"/>
        <w:spacing w:before="0" w:beforeAutospacing="0" w:after="0" w:afterAutospacing="0" w:line="360" w:lineRule="auto"/>
        <w:contextualSpacing/>
        <w:jc w:val="both"/>
        <w:textAlignment w:val="baseline"/>
      </w:pPr>
      <w:r w:rsidRPr="0037342F">
        <w:rPr>
          <w:rStyle w:val="normaltextrun"/>
          <w:color w:val="1A1A1A"/>
        </w:rPr>
        <w:t>We propose that consent to </w:t>
      </w:r>
      <w:r w:rsidRPr="0037342F">
        <w:rPr>
          <w:rStyle w:val="normaltextrun"/>
          <w:b/>
          <w:bCs/>
          <w:i/>
          <w:iCs/>
          <w:color w:val="1A1A1A"/>
        </w:rPr>
        <w:t>serious harm </w:t>
      </w:r>
      <w:r w:rsidRPr="0037342F">
        <w:rPr>
          <w:rStyle w:val="normaltextrun"/>
          <w:color w:val="1A1A1A"/>
        </w:rPr>
        <w:t>for sexual gratification, as any form of defence, should be outlawed in circumstances where the victim:</w:t>
      </w:r>
      <w:r w:rsidRPr="0037342F">
        <w:rPr>
          <w:rStyle w:val="eop"/>
          <w:color w:val="1A1A1A"/>
        </w:rPr>
        <w:t> </w:t>
      </w:r>
    </w:p>
    <w:p w14:paraId="145738A4" w14:textId="77777777" w:rsidR="007709C4" w:rsidRPr="0037342F" w:rsidRDefault="007709C4" w:rsidP="007709C4">
      <w:pPr>
        <w:pStyle w:val="paragraph"/>
        <w:numPr>
          <w:ilvl w:val="0"/>
          <w:numId w:val="2"/>
        </w:numPr>
        <w:spacing w:before="0" w:beforeAutospacing="0" w:after="0" w:afterAutospacing="0" w:line="360" w:lineRule="auto"/>
        <w:ind w:left="1080" w:firstLine="0"/>
        <w:contextualSpacing/>
        <w:jc w:val="both"/>
        <w:textAlignment w:val="baseline"/>
      </w:pPr>
      <w:r w:rsidRPr="0037342F">
        <w:rPr>
          <w:rStyle w:val="normaltextrun"/>
          <w:color w:val="1A1A1A"/>
        </w:rPr>
        <w:t>Dies as a result of injuries sustained during ‘rough sex’.</w:t>
      </w:r>
      <w:r w:rsidRPr="0037342F">
        <w:rPr>
          <w:rStyle w:val="eop"/>
          <w:color w:val="1A1A1A"/>
        </w:rPr>
        <w:t> </w:t>
      </w:r>
    </w:p>
    <w:p w14:paraId="7124AFD6" w14:textId="77777777" w:rsidR="007709C4" w:rsidRPr="0037342F" w:rsidRDefault="007709C4" w:rsidP="007709C4">
      <w:pPr>
        <w:pStyle w:val="paragraph"/>
        <w:numPr>
          <w:ilvl w:val="0"/>
          <w:numId w:val="2"/>
        </w:numPr>
        <w:spacing w:before="0" w:beforeAutospacing="0" w:after="0" w:afterAutospacing="0" w:line="360" w:lineRule="auto"/>
        <w:ind w:left="1080" w:firstLine="0"/>
        <w:contextualSpacing/>
        <w:jc w:val="both"/>
        <w:textAlignment w:val="baseline"/>
      </w:pPr>
      <w:r w:rsidRPr="0037342F">
        <w:rPr>
          <w:rStyle w:val="normaltextrun"/>
          <w:color w:val="1A1A1A"/>
        </w:rPr>
        <w:t>Is left with life-altering injuries sustained during ‘rough sex’.</w:t>
      </w:r>
      <w:r w:rsidRPr="0037342F">
        <w:rPr>
          <w:rStyle w:val="eop"/>
          <w:color w:val="1A1A1A"/>
        </w:rPr>
        <w:t> </w:t>
      </w:r>
    </w:p>
    <w:p w14:paraId="277A90CA" w14:textId="77777777" w:rsidR="007709C4" w:rsidRPr="0037342F" w:rsidRDefault="007709C4" w:rsidP="007709C4">
      <w:pPr>
        <w:pStyle w:val="paragraph"/>
        <w:numPr>
          <w:ilvl w:val="0"/>
          <w:numId w:val="3"/>
        </w:numPr>
        <w:spacing w:before="0" w:beforeAutospacing="0" w:after="0" w:afterAutospacing="0" w:line="360" w:lineRule="auto"/>
        <w:ind w:left="1080" w:firstLine="0"/>
        <w:contextualSpacing/>
        <w:jc w:val="both"/>
        <w:textAlignment w:val="baseline"/>
      </w:pPr>
      <w:r w:rsidRPr="0037342F">
        <w:rPr>
          <w:rStyle w:val="normaltextrun"/>
          <w:color w:val="1A1A1A"/>
        </w:rPr>
        <w:t>Is unconscious during ‘rough sex’.</w:t>
      </w:r>
      <w:r w:rsidRPr="0037342F">
        <w:rPr>
          <w:rStyle w:val="eop"/>
          <w:color w:val="1A1A1A"/>
        </w:rPr>
        <w:t> </w:t>
      </w:r>
    </w:p>
    <w:p w14:paraId="25707F45" w14:textId="77777777" w:rsidR="00EE36C7" w:rsidRDefault="00EE36C7" w:rsidP="00EE36C7">
      <w:pPr>
        <w:pStyle w:val="paragraph"/>
        <w:spacing w:before="0" w:beforeAutospacing="0" w:after="0" w:afterAutospacing="0" w:line="360" w:lineRule="auto"/>
        <w:contextualSpacing/>
        <w:jc w:val="both"/>
        <w:textAlignment w:val="baseline"/>
        <w:rPr>
          <w:rStyle w:val="eop"/>
          <w:color w:val="1A1A1A"/>
        </w:rPr>
      </w:pPr>
    </w:p>
    <w:p w14:paraId="67CF4A63" w14:textId="08B42DA1" w:rsidR="00EE36C7" w:rsidRPr="0037342F" w:rsidRDefault="00EE36C7" w:rsidP="00EE36C7">
      <w:pPr>
        <w:pStyle w:val="paragraph"/>
        <w:spacing w:before="0" w:beforeAutospacing="0" w:after="0" w:afterAutospacing="0" w:line="360" w:lineRule="auto"/>
        <w:contextualSpacing/>
        <w:jc w:val="both"/>
        <w:textAlignment w:val="baseline"/>
      </w:pPr>
      <w:r w:rsidRPr="0037342F">
        <w:rPr>
          <w:rStyle w:val="normaltextrun"/>
          <w:color w:val="1A1A1A"/>
        </w:rPr>
        <w:t xml:space="preserve">In addition </w:t>
      </w:r>
      <w:r>
        <w:rPr>
          <w:rStyle w:val="normaltextrun"/>
          <w:color w:val="1A1A1A"/>
        </w:rPr>
        <w:t xml:space="preserve">and as clarified above, </w:t>
      </w:r>
      <w:r w:rsidRPr="0037342F">
        <w:rPr>
          <w:rStyle w:val="normaltextrun"/>
          <w:color w:val="1A1A1A"/>
        </w:rPr>
        <w:t xml:space="preserve">we propose improving social and public education </w:t>
      </w:r>
      <w:r>
        <w:rPr>
          <w:rStyle w:val="normaltextrun"/>
          <w:color w:val="1A1A1A"/>
        </w:rPr>
        <w:t>within Norther</w:t>
      </w:r>
      <w:r w:rsidR="002D28BA">
        <w:rPr>
          <w:rStyle w:val="normaltextrun"/>
          <w:color w:val="1A1A1A"/>
        </w:rPr>
        <w:t>n</w:t>
      </w:r>
      <w:r>
        <w:rPr>
          <w:rStyle w:val="normaltextrun"/>
          <w:color w:val="1A1A1A"/>
        </w:rPr>
        <w:t xml:space="preserve"> Ireland </w:t>
      </w:r>
      <w:r w:rsidRPr="0037342F">
        <w:rPr>
          <w:rStyle w:val="normaltextrun"/>
          <w:color w:val="1A1A1A"/>
        </w:rPr>
        <w:t>on consent, boundaries an</w:t>
      </w:r>
      <w:r>
        <w:rPr>
          <w:rStyle w:val="normaltextrun"/>
          <w:color w:val="1A1A1A"/>
        </w:rPr>
        <w:t>d safe ‘rough’ sex (i.e., BDSM) including: (</w:t>
      </w:r>
      <w:proofErr w:type="spellStart"/>
      <w:r>
        <w:rPr>
          <w:rStyle w:val="normaltextrun"/>
          <w:color w:val="1A1A1A"/>
        </w:rPr>
        <w:t>i</w:t>
      </w:r>
      <w:proofErr w:type="spellEnd"/>
      <w:r>
        <w:rPr>
          <w:rStyle w:val="normaltextrun"/>
          <w:color w:val="1A1A1A"/>
        </w:rPr>
        <w:t>) the e</w:t>
      </w:r>
      <w:r w:rsidRPr="0037342F">
        <w:rPr>
          <w:rStyle w:val="normaltextrun"/>
          <w:color w:val="1A1A1A"/>
        </w:rPr>
        <w:t>xpan</w:t>
      </w:r>
      <w:r>
        <w:rPr>
          <w:rStyle w:val="normaltextrun"/>
          <w:color w:val="1A1A1A"/>
        </w:rPr>
        <w:t>sion of</w:t>
      </w:r>
      <w:r w:rsidRPr="0037342F">
        <w:rPr>
          <w:rStyle w:val="normaltextrun"/>
          <w:color w:val="1A1A1A"/>
        </w:rPr>
        <w:t xml:space="preserve"> secondary school </w:t>
      </w:r>
      <w:r w:rsidRPr="0037342F">
        <w:rPr>
          <w:rStyle w:val="normaltextrun"/>
          <w:b/>
          <w:bCs/>
          <w:color w:val="1A1A1A"/>
        </w:rPr>
        <w:t>education</w:t>
      </w:r>
      <w:r w:rsidRPr="0037342F">
        <w:rPr>
          <w:rStyle w:val="normaltextrun"/>
          <w:color w:val="1A1A1A"/>
        </w:rPr>
        <w:t>, including sexual health and relationship education</w:t>
      </w:r>
      <w:r>
        <w:rPr>
          <w:rStyle w:val="normaltextrun"/>
          <w:color w:val="1A1A1A"/>
        </w:rPr>
        <w:t xml:space="preserve"> (RSE); (ii) increasing</w:t>
      </w:r>
      <w:r w:rsidRPr="0037342F">
        <w:rPr>
          <w:rStyle w:val="normaltextrun"/>
          <w:color w:val="1A1A1A"/>
        </w:rPr>
        <w:t> </w:t>
      </w:r>
      <w:r w:rsidRPr="0037342F">
        <w:rPr>
          <w:rStyle w:val="normaltextrun"/>
          <w:b/>
          <w:bCs/>
          <w:color w:val="1A1A1A"/>
        </w:rPr>
        <w:t>access to information</w:t>
      </w:r>
      <w:r w:rsidRPr="0037342F">
        <w:rPr>
          <w:rStyle w:val="normaltextrun"/>
          <w:color w:val="1A1A1A"/>
        </w:rPr>
        <w:t> i.e. internet sources, educational courses, etc</w:t>
      </w:r>
      <w:r>
        <w:rPr>
          <w:rStyle w:val="normaltextrun"/>
          <w:color w:val="1A1A1A"/>
        </w:rPr>
        <w:t>.</w:t>
      </w:r>
      <w:r w:rsidRPr="0037342F">
        <w:rPr>
          <w:rStyle w:val="normaltextrun"/>
          <w:color w:val="1A1A1A"/>
        </w:rPr>
        <w:t>, to dissolve the taboo aspect of BDSM so that more conversations on safe practices b</w:t>
      </w:r>
      <w:r>
        <w:rPr>
          <w:rStyle w:val="normaltextrun"/>
          <w:color w:val="1A1A1A"/>
        </w:rPr>
        <w:t>ecome the norm; and (iii) providing</w:t>
      </w:r>
      <w:r w:rsidRPr="0037342F">
        <w:rPr>
          <w:rStyle w:val="normaltextrun"/>
          <w:color w:val="1A1A1A"/>
        </w:rPr>
        <w:t xml:space="preserve"> resources to the </w:t>
      </w:r>
      <w:r w:rsidRPr="0037342F">
        <w:rPr>
          <w:rStyle w:val="normaltextrun"/>
          <w:b/>
          <w:bCs/>
          <w:color w:val="1A1A1A"/>
        </w:rPr>
        <w:t>victims of sexual violence</w:t>
      </w:r>
      <w:r w:rsidRPr="0037342F">
        <w:rPr>
          <w:rStyle w:val="normaltextrun"/>
          <w:color w:val="1A1A1A"/>
        </w:rPr>
        <w:t>, focusing on why victims of sexual viole</w:t>
      </w:r>
      <w:r>
        <w:rPr>
          <w:rStyle w:val="normaltextrun"/>
          <w:color w:val="1A1A1A"/>
        </w:rPr>
        <w:t>nce do not report perpetrators.</w:t>
      </w:r>
    </w:p>
    <w:p w14:paraId="1665AD61" w14:textId="77777777" w:rsidR="00EE36C7" w:rsidRPr="0037342F" w:rsidRDefault="00EE36C7" w:rsidP="00EE36C7">
      <w:pPr>
        <w:pStyle w:val="paragraph"/>
        <w:spacing w:before="0" w:beforeAutospacing="0" w:after="0" w:afterAutospacing="0" w:line="360" w:lineRule="auto"/>
        <w:contextualSpacing/>
        <w:jc w:val="both"/>
        <w:textAlignment w:val="baseline"/>
      </w:pPr>
    </w:p>
    <w:p w14:paraId="3C235561" w14:textId="40837656" w:rsidR="00EE36C7" w:rsidRPr="00F358B0" w:rsidRDefault="00EE36C7" w:rsidP="00EE36C7">
      <w:pPr>
        <w:pStyle w:val="paragraph"/>
        <w:spacing w:before="0" w:beforeAutospacing="0" w:after="0" w:afterAutospacing="0" w:line="360" w:lineRule="auto"/>
        <w:contextualSpacing/>
        <w:jc w:val="both"/>
        <w:textAlignment w:val="baseline"/>
        <w:rPr>
          <w:rStyle w:val="eop"/>
        </w:rPr>
      </w:pPr>
      <w:r>
        <w:rPr>
          <w:rStyle w:val="normaltextrun"/>
          <w:color w:val="1A1A1A"/>
        </w:rPr>
        <w:t xml:space="preserve">Interrelated and importantly, </w:t>
      </w:r>
      <w:r w:rsidR="00F358B0" w:rsidRPr="00F358B0">
        <w:rPr>
          <w:rStyle w:val="normaltextrun"/>
          <w:color w:val="1A1A1A"/>
        </w:rPr>
        <w:t xml:space="preserve">research carried out by </w:t>
      </w:r>
      <w:proofErr w:type="spellStart"/>
      <w:r w:rsidR="00F358B0" w:rsidRPr="00F358B0">
        <w:rPr>
          <w:rStyle w:val="normaltextrun"/>
          <w:color w:val="1A1A1A"/>
        </w:rPr>
        <w:t>Savanta</w:t>
      </w:r>
      <w:proofErr w:type="spellEnd"/>
      <w:r w:rsidR="00F358B0" w:rsidRPr="00F358B0">
        <w:rPr>
          <w:rStyle w:val="normaltextrun"/>
          <w:color w:val="1A1A1A"/>
        </w:rPr>
        <w:t xml:space="preserve"> </w:t>
      </w:r>
      <w:proofErr w:type="spellStart"/>
      <w:r w:rsidR="00F358B0" w:rsidRPr="00F358B0">
        <w:rPr>
          <w:rStyle w:val="normaltextrun"/>
          <w:color w:val="1A1A1A"/>
        </w:rPr>
        <w:t>ComRes</w:t>
      </w:r>
      <w:proofErr w:type="spellEnd"/>
      <w:r w:rsidR="00F358B0">
        <w:rPr>
          <w:rStyle w:val="normaltextrun"/>
          <w:color w:val="1A1A1A"/>
        </w:rPr>
        <w:t>,</w:t>
      </w:r>
      <w:r w:rsidR="00F358B0" w:rsidRPr="00F358B0">
        <w:rPr>
          <w:rStyle w:val="normaltextrun"/>
          <w:color w:val="1A1A1A"/>
        </w:rPr>
        <w:t xml:space="preserve"> </w:t>
      </w:r>
      <w:r w:rsidR="00F358B0">
        <w:rPr>
          <w:rStyle w:val="normaltextrun"/>
          <w:color w:val="1A1A1A"/>
        </w:rPr>
        <w:t xml:space="preserve">as outlined in the Consultation document, </w:t>
      </w:r>
      <w:r w:rsidRPr="0037342F">
        <w:rPr>
          <w:rStyle w:val="normaltextrun"/>
          <w:color w:val="1A1A1A"/>
        </w:rPr>
        <w:t>shows that 38% of women surveyed had experienced slapping, choking, gagging, or spitting during consensual sex, and that at least some of the time this was unwanted, indica</w:t>
      </w:r>
      <w:r>
        <w:rPr>
          <w:rStyle w:val="normaltextrun"/>
          <w:color w:val="1A1A1A"/>
        </w:rPr>
        <w:t xml:space="preserve">tes a significant and concerning </w:t>
      </w:r>
      <w:r w:rsidRPr="0037342F">
        <w:rPr>
          <w:rStyle w:val="normaltextrun"/>
          <w:color w:val="1A1A1A"/>
        </w:rPr>
        <w:t>attitude to sex among a younger demographic.</w:t>
      </w:r>
      <w:r w:rsidR="00F358B0">
        <w:rPr>
          <w:rStyle w:val="FootnoteReference"/>
          <w:color w:val="1A1A1A"/>
        </w:rPr>
        <w:footnoteReference w:id="99"/>
      </w:r>
      <w:r w:rsidRPr="0037342F">
        <w:rPr>
          <w:rStyle w:val="normaltextrun"/>
          <w:color w:val="1A1A1A"/>
        </w:rPr>
        <w:t xml:space="preserve"> It is also clear that this is a rising, rather than falling</w:t>
      </w:r>
      <w:r w:rsidR="002D28BA">
        <w:rPr>
          <w:rStyle w:val="normaltextrun"/>
          <w:color w:val="1A1A1A"/>
        </w:rPr>
        <w:t xml:space="preserve"> (</w:t>
      </w:r>
      <w:r w:rsidRPr="0037342F">
        <w:rPr>
          <w:rStyle w:val="normaltextrun"/>
          <w:color w:val="1A1A1A"/>
        </w:rPr>
        <w:t>or static</w:t>
      </w:r>
      <w:r w:rsidR="002D28BA">
        <w:rPr>
          <w:rStyle w:val="normaltextrun"/>
          <w:color w:val="1A1A1A"/>
        </w:rPr>
        <w:t>)</w:t>
      </w:r>
      <w:r w:rsidRPr="0037342F">
        <w:rPr>
          <w:rStyle w:val="normaltextrun"/>
          <w:color w:val="1A1A1A"/>
        </w:rPr>
        <w:t xml:space="preserve"> figure. Accordingly, what we might term ‘counter-education’ should, of necessity, be a component of the DOJ’s legislative plan. Resear</w:t>
      </w:r>
      <w:r>
        <w:rPr>
          <w:rStyle w:val="normaltextrun"/>
          <w:color w:val="1A1A1A"/>
        </w:rPr>
        <w:t xml:space="preserve">ch needs to be </w:t>
      </w:r>
      <w:r w:rsidR="002D28BA">
        <w:rPr>
          <w:rStyle w:val="normaltextrun"/>
          <w:color w:val="1A1A1A"/>
        </w:rPr>
        <w:t xml:space="preserve">undertaken </w:t>
      </w:r>
      <w:r>
        <w:rPr>
          <w:rStyle w:val="normaltextrun"/>
          <w:color w:val="1A1A1A"/>
        </w:rPr>
        <w:t>to identify:</w:t>
      </w:r>
      <w:r w:rsidRPr="0037342F">
        <w:rPr>
          <w:rStyle w:val="normaltextrun"/>
          <w:color w:val="1A1A1A"/>
        </w:rPr>
        <w:t xml:space="preserve"> (</w:t>
      </w:r>
      <w:proofErr w:type="spellStart"/>
      <w:r w:rsidRPr="0037342F">
        <w:rPr>
          <w:rStyle w:val="normaltextrun"/>
          <w:color w:val="1A1A1A"/>
        </w:rPr>
        <w:t>i</w:t>
      </w:r>
      <w:proofErr w:type="spellEnd"/>
      <w:r w:rsidRPr="0037342F">
        <w:rPr>
          <w:rStyle w:val="normaltextrun"/>
          <w:color w:val="1A1A1A"/>
        </w:rPr>
        <w:t>) precisely where these impressions of s</w:t>
      </w:r>
      <w:r>
        <w:rPr>
          <w:rStyle w:val="normaltextrun"/>
          <w:color w:val="1A1A1A"/>
        </w:rPr>
        <w:t>ex are acquired by young people;</w:t>
      </w:r>
      <w:r w:rsidRPr="0037342F">
        <w:rPr>
          <w:rStyle w:val="normaltextrun"/>
          <w:color w:val="1A1A1A"/>
        </w:rPr>
        <w:t xml:space="preserve"> (ii) why they </w:t>
      </w:r>
      <w:r>
        <w:rPr>
          <w:rStyle w:val="normaltextrun"/>
          <w:color w:val="1A1A1A"/>
        </w:rPr>
        <w:t>are increasingly pervasive;</w:t>
      </w:r>
      <w:r w:rsidRPr="0037342F">
        <w:rPr>
          <w:rStyle w:val="normaltextrun"/>
          <w:color w:val="1A1A1A"/>
        </w:rPr>
        <w:t xml:space="preserve"> and (iii) the dynamics that commonly underpi</w:t>
      </w:r>
      <w:r>
        <w:rPr>
          <w:rStyle w:val="normaltextrun"/>
          <w:color w:val="1A1A1A"/>
        </w:rPr>
        <w:t>n them in sexual relationships.</w:t>
      </w:r>
    </w:p>
    <w:p w14:paraId="58B93EB7" w14:textId="77777777" w:rsidR="00931E3C" w:rsidRDefault="00931E3C" w:rsidP="007709C4">
      <w:pPr>
        <w:pStyle w:val="paragraph"/>
        <w:spacing w:before="0" w:beforeAutospacing="0" w:after="0" w:afterAutospacing="0" w:line="360" w:lineRule="auto"/>
        <w:contextualSpacing/>
        <w:jc w:val="both"/>
        <w:textAlignment w:val="baseline"/>
        <w:rPr>
          <w:rStyle w:val="normaltextrun"/>
          <w:b/>
          <w:bCs/>
        </w:rPr>
      </w:pPr>
    </w:p>
    <w:p w14:paraId="3CA9A1AF" w14:textId="2E539CF5" w:rsidR="002D28BA" w:rsidRDefault="00CB6F21" w:rsidP="007709C4">
      <w:pPr>
        <w:pStyle w:val="paragraph"/>
        <w:spacing w:before="0" w:beforeAutospacing="0" w:after="0" w:afterAutospacing="0" w:line="360" w:lineRule="auto"/>
        <w:contextualSpacing/>
        <w:jc w:val="both"/>
        <w:textAlignment w:val="baseline"/>
      </w:pPr>
      <w:r>
        <w:rPr>
          <w:rStyle w:val="normaltextrun"/>
          <w:b/>
          <w:bCs/>
        </w:rPr>
        <w:t>Th</w:t>
      </w:r>
      <w:r w:rsidR="00EE36C7" w:rsidRPr="0037342F">
        <w:rPr>
          <w:rStyle w:val="normaltextrun"/>
          <w:b/>
          <w:bCs/>
        </w:rPr>
        <w:t>e Offence of Non-Fatal Strangulation</w:t>
      </w:r>
      <w:r w:rsidR="00EE36C7" w:rsidRPr="0037342F">
        <w:rPr>
          <w:rStyle w:val="bcx9"/>
        </w:rPr>
        <w:t> </w:t>
      </w:r>
    </w:p>
    <w:p w14:paraId="1D227192" w14:textId="77669B1C" w:rsidR="00EE36C7" w:rsidRPr="0037342F" w:rsidRDefault="00F358B0" w:rsidP="00EE36C7">
      <w:pPr>
        <w:pStyle w:val="paragraph"/>
        <w:spacing w:before="0" w:beforeAutospacing="0" w:after="0" w:afterAutospacing="0" w:line="360" w:lineRule="auto"/>
        <w:contextualSpacing/>
        <w:jc w:val="both"/>
        <w:textAlignment w:val="baseline"/>
      </w:pPr>
      <w:r>
        <w:t>Building on the discussion in response to question 2, w</w:t>
      </w:r>
      <w:r w:rsidR="00EE36C7" w:rsidRPr="002D28BA">
        <w:t>e draw particular attention to the offence of non-fatal strangulation and propose that any new legislation explicitly address</w:t>
      </w:r>
      <w:r w:rsidR="00EE36C7" w:rsidRPr="0037342F">
        <w:rPr>
          <w:rStyle w:val="normaltextrun"/>
        </w:rPr>
        <w:t xml:space="preserve"> th</w:t>
      </w:r>
      <w:r w:rsidR="00EE36C7">
        <w:rPr>
          <w:rStyle w:val="normaltextrun"/>
        </w:rPr>
        <w:t>is</w:t>
      </w:r>
      <w:r w:rsidR="00EE36C7" w:rsidRPr="0037342F">
        <w:rPr>
          <w:rStyle w:val="normaltextrun"/>
        </w:rPr>
        <w:t xml:space="preserve"> offence</w:t>
      </w:r>
      <w:r w:rsidR="00EE36C7">
        <w:rPr>
          <w:rStyle w:val="normaltextrun"/>
        </w:rPr>
        <w:t>.</w:t>
      </w:r>
      <w:r w:rsidR="00EE36C7" w:rsidRPr="0037342F">
        <w:rPr>
          <w:rStyle w:val="normaltextrun"/>
        </w:rPr>
        <w:t xml:space="preserve"> In 50</w:t>
      </w:r>
      <w:r w:rsidR="00EE36C7">
        <w:rPr>
          <w:rStyle w:val="normaltextrun"/>
        </w:rPr>
        <w:t xml:space="preserve"> years, there have been approximately</w:t>
      </w:r>
      <w:r w:rsidR="00EE36C7" w:rsidRPr="0037342F">
        <w:rPr>
          <w:rStyle w:val="normaltextrun"/>
        </w:rPr>
        <w:t xml:space="preserve"> 60 cases where women in the UK were killed by a </w:t>
      </w:r>
      <w:r w:rsidR="00EE36C7" w:rsidRPr="0037342F">
        <w:rPr>
          <w:rStyle w:val="normaltextrun"/>
        </w:rPr>
        <w:lastRenderedPageBreak/>
        <w:t>man who claimed it was a sex act gone wrong. Two-thirds of the women were strangled. This is around 3 times higher than the average rate of strangulation in the killing of women in other contexts.</w:t>
      </w:r>
      <w:r w:rsidR="00EE36C7" w:rsidRPr="0037342F">
        <w:rPr>
          <w:rStyle w:val="FootnoteReference"/>
        </w:rPr>
        <w:footnoteReference w:id="100"/>
      </w:r>
      <w:r w:rsidR="00EE36C7" w:rsidRPr="0037342F">
        <w:rPr>
          <w:rStyle w:val="normaltextrun"/>
        </w:rPr>
        <w:t xml:space="preserve"> Northern Ireland </w:t>
      </w:r>
      <w:r w:rsidR="00EE36C7">
        <w:rPr>
          <w:rStyle w:val="normaltextrun"/>
        </w:rPr>
        <w:t>has an opportunity to</w:t>
      </w:r>
      <w:r w:rsidR="00EE36C7" w:rsidRPr="0037342F">
        <w:rPr>
          <w:rStyle w:val="normaltextrun"/>
        </w:rPr>
        <w:t xml:space="preserve"> lead by example by enacting legislation to cover explicitly the offence of non-fatal strangulation. ‘New Clause 8’ was previously proposed in the House of Commons:</w:t>
      </w:r>
      <w:r w:rsidR="00EE36C7" w:rsidRPr="0037342F">
        <w:rPr>
          <w:rStyle w:val="eop"/>
        </w:rPr>
        <w:t> </w:t>
      </w:r>
    </w:p>
    <w:p w14:paraId="4D6BADF4" w14:textId="77777777" w:rsidR="00EE36C7" w:rsidRPr="0037342F" w:rsidRDefault="00EE36C7" w:rsidP="00F358B0">
      <w:pPr>
        <w:pStyle w:val="paragraph"/>
        <w:spacing w:before="0" w:beforeAutospacing="0" w:after="0" w:afterAutospacing="0"/>
        <w:ind w:left="850" w:right="850"/>
        <w:contextualSpacing/>
        <w:jc w:val="both"/>
        <w:textAlignment w:val="baseline"/>
      </w:pPr>
      <w:r w:rsidRPr="0037342F">
        <w:rPr>
          <w:rStyle w:val="normaltextrun"/>
        </w:rPr>
        <w:t>A person (A) commits an offence if that person unlawfully strangles, suffocates, or asphyxiates another person (B), where the strangulation, suffocation, or asphyxiation does not result in B’s death.</w:t>
      </w:r>
      <w:r w:rsidRPr="0037342F">
        <w:rPr>
          <w:rStyle w:val="FootnoteReference"/>
        </w:rPr>
        <w:footnoteReference w:id="101"/>
      </w:r>
      <w:r w:rsidRPr="0037342F">
        <w:t xml:space="preserve"> </w:t>
      </w:r>
    </w:p>
    <w:p w14:paraId="36FD4128" w14:textId="77777777" w:rsidR="00EE36C7" w:rsidRPr="0037342F" w:rsidRDefault="00EE36C7" w:rsidP="00EE36C7">
      <w:pPr>
        <w:pStyle w:val="paragraph"/>
        <w:spacing w:before="0" w:beforeAutospacing="0" w:after="0" w:afterAutospacing="0" w:line="360" w:lineRule="auto"/>
        <w:ind w:left="555" w:right="555"/>
        <w:contextualSpacing/>
        <w:jc w:val="both"/>
        <w:textAlignment w:val="baseline"/>
      </w:pPr>
    </w:p>
    <w:p w14:paraId="2CB97B5E" w14:textId="4FE210ED" w:rsidR="00EE36C7" w:rsidRDefault="00EE36C7" w:rsidP="00EE36C7">
      <w:pPr>
        <w:pStyle w:val="paragraph"/>
        <w:spacing w:before="0" w:beforeAutospacing="0" w:after="0" w:afterAutospacing="0" w:line="360" w:lineRule="auto"/>
        <w:contextualSpacing/>
        <w:jc w:val="both"/>
        <w:textAlignment w:val="baseline"/>
      </w:pPr>
      <w:r w:rsidRPr="0037342F">
        <w:rPr>
          <w:rStyle w:val="normaltextrun"/>
        </w:rPr>
        <w:t>In Northern Ireland, organisations including Women’s Aid, </w:t>
      </w:r>
      <w:proofErr w:type="spellStart"/>
      <w:r w:rsidRPr="0037342F">
        <w:rPr>
          <w:rStyle w:val="normaltextrun"/>
        </w:rPr>
        <w:t>HER</w:t>
      </w:r>
      <w:r w:rsidR="00F358B0">
        <w:rPr>
          <w:rStyle w:val="normaltextrun"/>
        </w:rPr>
        <w:t>e</w:t>
      </w:r>
      <w:proofErr w:type="spellEnd"/>
      <w:r w:rsidRPr="0037342F">
        <w:rPr>
          <w:rStyle w:val="normaltextrun"/>
        </w:rPr>
        <w:t> NI, Women’s Policy Group, Women’s Resource and Development Agency, Relate NI, and MAP have highlighted that there is no specific legal means to adequately tackle non-fatal strangulation and choking offences, and have called for the legal framework to be strengthened and a specific criminal offence introduced.</w:t>
      </w:r>
      <w:r w:rsidRPr="0037342F">
        <w:rPr>
          <w:rStyle w:val="FootnoteReference"/>
        </w:rPr>
        <w:footnoteReference w:id="102"/>
      </w:r>
      <w:r w:rsidRPr="0037342F">
        <w:rPr>
          <w:rStyle w:val="normaltextrun"/>
        </w:rPr>
        <w:t xml:space="preserve"> Similarly, the South Eastern Domestic and Sexual Violence Partnership have registered concerns that the ‘rough sex’ defence is ‘increasingly used in Domestic Homicides to explain a death’ and that ‘acts of non-fatal strangulation are explained as consensual acts and yet women are predominantly the victims and held responsible.’</w:t>
      </w:r>
      <w:r w:rsidRPr="0037342F">
        <w:rPr>
          <w:rStyle w:val="FootnoteReference"/>
        </w:rPr>
        <w:footnoteReference w:id="103"/>
      </w:r>
      <w:r w:rsidRPr="0037342F">
        <w:t xml:space="preserve"> </w:t>
      </w:r>
    </w:p>
    <w:p w14:paraId="62BE84D6" w14:textId="77777777" w:rsidR="00EE36C7" w:rsidRPr="0037342F" w:rsidRDefault="00EE36C7" w:rsidP="00EE36C7">
      <w:pPr>
        <w:pStyle w:val="paragraph"/>
        <w:spacing w:before="0" w:beforeAutospacing="0" w:after="0" w:afterAutospacing="0" w:line="360" w:lineRule="auto"/>
        <w:contextualSpacing/>
        <w:jc w:val="both"/>
        <w:textAlignment w:val="baseline"/>
      </w:pPr>
    </w:p>
    <w:p w14:paraId="41FAEEB8" w14:textId="77777777" w:rsidR="00EE36C7" w:rsidRPr="0037342F" w:rsidRDefault="00EE36C7" w:rsidP="00EE36C7">
      <w:pPr>
        <w:pStyle w:val="paragraph"/>
        <w:spacing w:before="0" w:beforeAutospacing="0" w:after="0" w:afterAutospacing="0" w:line="360" w:lineRule="auto"/>
        <w:contextualSpacing/>
        <w:jc w:val="both"/>
        <w:textAlignment w:val="baseline"/>
      </w:pPr>
      <w:r w:rsidRPr="0037342F">
        <w:rPr>
          <w:rStyle w:val="normaltextrun"/>
        </w:rPr>
        <w:t xml:space="preserve">Section 21 of the </w:t>
      </w:r>
      <w:r>
        <w:rPr>
          <w:rStyle w:val="normaltextrun"/>
          <w:i/>
        </w:rPr>
        <w:t>Offences a</w:t>
      </w:r>
      <w:r w:rsidRPr="00AA186E">
        <w:rPr>
          <w:rStyle w:val="normaltextrun"/>
          <w:i/>
        </w:rPr>
        <w:t>gainst the Person Act 1861</w:t>
      </w:r>
      <w:r w:rsidRPr="0037342F">
        <w:rPr>
          <w:rStyle w:val="normaltextrun"/>
        </w:rPr>
        <w:t xml:space="preserve"> contains the offence of attempting to choke, su</w:t>
      </w:r>
      <w:r>
        <w:rPr>
          <w:rStyle w:val="normaltextrun"/>
        </w:rPr>
        <w:t>ffocate</w:t>
      </w:r>
      <w:r w:rsidRPr="0037342F">
        <w:rPr>
          <w:rStyle w:val="normaltextrun"/>
        </w:rPr>
        <w:t xml:space="preserve"> or strangle, though only when the act is committed in the commission of another offence. In the majority of cases, prosecutions can only be brought for an assault offence. The lack of observable injuries means that offenders’ conduct is often minimised, and they are charged with common assault rather than ABH or GBH.</w:t>
      </w:r>
      <w:r w:rsidRPr="0037342F">
        <w:rPr>
          <w:rStyle w:val="FootnoteReference"/>
        </w:rPr>
        <w:footnoteReference w:id="104"/>
      </w:r>
      <w:r w:rsidRPr="0037342F">
        <w:rPr>
          <w:rStyle w:val="normaltextrun"/>
        </w:rPr>
        <w:t xml:space="preserve"> In making the case for similar legislation, which was enacted in 2018, the Law Commission of New Zealand stated </w:t>
      </w:r>
      <w:r w:rsidRPr="0037342F">
        <w:rPr>
          <w:rStyle w:val="normaltextrun"/>
        </w:rPr>
        <w:lastRenderedPageBreak/>
        <w:t>that, since its charging practice was clearly inadequate, a new offence would be a more effective criminal sanction than the existing options.</w:t>
      </w:r>
      <w:r w:rsidRPr="0037342F">
        <w:rPr>
          <w:rStyle w:val="FootnoteReference"/>
        </w:rPr>
        <w:footnoteReference w:id="105"/>
      </w:r>
    </w:p>
    <w:p w14:paraId="52A4CEAD" w14:textId="77777777" w:rsidR="00EE36C7" w:rsidRPr="0037342F" w:rsidRDefault="00EE36C7" w:rsidP="00EE36C7">
      <w:pPr>
        <w:pStyle w:val="paragraph"/>
        <w:spacing w:before="0" w:beforeAutospacing="0" w:after="0" w:afterAutospacing="0" w:line="360" w:lineRule="auto"/>
        <w:contextualSpacing/>
        <w:jc w:val="both"/>
        <w:textAlignment w:val="baseline"/>
        <w:rPr>
          <w:rStyle w:val="normaltextrun"/>
        </w:rPr>
      </w:pPr>
    </w:p>
    <w:p w14:paraId="7CC64A77" w14:textId="740BFAC0" w:rsidR="00EE36C7" w:rsidRPr="003E1659" w:rsidRDefault="00EE36C7" w:rsidP="00EE36C7">
      <w:pPr>
        <w:pStyle w:val="paragraph"/>
        <w:spacing w:before="0" w:beforeAutospacing="0" w:after="0" w:afterAutospacing="0" w:line="360" w:lineRule="auto"/>
        <w:contextualSpacing/>
        <w:jc w:val="both"/>
        <w:textAlignment w:val="baseline"/>
      </w:pPr>
      <w:r w:rsidRPr="0037342F">
        <w:rPr>
          <w:rStyle w:val="normaltextrun"/>
        </w:rPr>
        <w:t>As the dominant cause of death in cases where the ‘rough sex’ defence has been used, the enactment of specific legislation on the offence of non-fatal strangulation would go some way to</w:t>
      </w:r>
      <w:r w:rsidR="00B96585">
        <w:rPr>
          <w:rStyle w:val="normaltextrun"/>
        </w:rPr>
        <w:t>:</w:t>
      </w:r>
      <w:r w:rsidRPr="0037342F">
        <w:rPr>
          <w:rStyle w:val="normaltextrun"/>
        </w:rPr>
        <w:t xml:space="preserve"> (</w:t>
      </w:r>
      <w:proofErr w:type="spellStart"/>
      <w:r w:rsidRPr="0037342F">
        <w:rPr>
          <w:rStyle w:val="normaltextrun"/>
        </w:rPr>
        <w:t>i</w:t>
      </w:r>
      <w:proofErr w:type="spellEnd"/>
      <w:r w:rsidRPr="0037342F">
        <w:rPr>
          <w:rStyle w:val="normaltextrun"/>
        </w:rPr>
        <w:t>) recognising str</w:t>
      </w:r>
      <w:r>
        <w:rPr>
          <w:rStyle w:val="normaltextrun"/>
        </w:rPr>
        <w:t>angulation as a serious offence;</w:t>
      </w:r>
      <w:r w:rsidRPr="0037342F">
        <w:rPr>
          <w:rStyle w:val="normaltextrun"/>
        </w:rPr>
        <w:t xml:space="preserve"> (ii</w:t>
      </w:r>
      <w:r>
        <w:rPr>
          <w:rStyle w:val="normaltextrun"/>
        </w:rPr>
        <w:t>) dissuading would-be offenders;</w:t>
      </w:r>
      <w:r w:rsidRPr="0037342F">
        <w:rPr>
          <w:rStyle w:val="normaltextrun"/>
        </w:rPr>
        <w:t xml:space="preserve"> (iii) protecting vulnerable survivors by enabling them to bring c</w:t>
      </w:r>
      <w:r>
        <w:rPr>
          <w:rStyle w:val="normaltextrun"/>
        </w:rPr>
        <w:t>harges against their assailants;</w:t>
      </w:r>
      <w:r w:rsidRPr="0037342F">
        <w:rPr>
          <w:rStyle w:val="normaltextrun"/>
        </w:rPr>
        <w:t xml:space="preserve"> and (iv) increasing public awareness of the issue, particularly in light of the potential long-term medical effects precipitated by non-fatal strangulation</w:t>
      </w:r>
      <w:r>
        <w:rPr>
          <w:rStyle w:val="normaltextrun"/>
        </w:rPr>
        <w:t>. Unpacking the latter issue, a</w:t>
      </w:r>
      <w:r w:rsidRPr="0037342F">
        <w:rPr>
          <w:rStyle w:val="normaltextrun"/>
        </w:rPr>
        <w:t>lthough there is little or no visible injury, numerous longer-term effects of strangulation include fractured trachea/larynx, internal bleeding, tinnitus, neurological injuries, PTSD, depression, and stroke.</w:t>
      </w:r>
      <w:r w:rsidRPr="0037342F">
        <w:rPr>
          <w:rStyle w:val="FootnoteReference"/>
        </w:rPr>
        <w:footnoteReference w:id="106"/>
      </w:r>
      <w:r w:rsidRPr="0037342F">
        <w:rPr>
          <w:rStyle w:val="normaltextrun"/>
        </w:rPr>
        <w:t xml:space="preserve"> It may also prevent fatal harm to survivors by the same perpetrators in the future.</w:t>
      </w:r>
      <w:r w:rsidRPr="0037342F">
        <w:rPr>
          <w:rStyle w:val="bcx9"/>
        </w:rPr>
        <w:t> </w:t>
      </w:r>
      <w:r w:rsidRPr="0037342F">
        <w:br/>
      </w:r>
      <w:r w:rsidRPr="0037342F">
        <w:rPr>
          <w:rStyle w:val="eop"/>
        </w:rPr>
        <w:t> </w:t>
      </w:r>
    </w:p>
    <w:p w14:paraId="5E23BAE1" w14:textId="77777777" w:rsidR="00EE36C7" w:rsidRPr="0037342F" w:rsidRDefault="00EE36C7" w:rsidP="00EE36C7">
      <w:pPr>
        <w:pStyle w:val="paragraph"/>
        <w:spacing w:before="0" w:beforeAutospacing="0" w:after="0" w:afterAutospacing="0" w:line="360" w:lineRule="auto"/>
        <w:contextualSpacing/>
        <w:jc w:val="both"/>
        <w:textAlignment w:val="baseline"/>
      </w:pPr>
      <w:r w:rsidRPr="0037342F">
        <w:rPr>
          <w:rStyle w:val="eop"/>
        </w:rPr>
        <w:t> </w:t>
      </w:r>
    </w:p>
    <w:p w14:paraId="0072073A" w14:textId="77777777" w:rsidR="00EE36C7" w:rsidRDefault="00EE36C7" w:rsidP="00EE36C7">
      <w:pPr>
        <w:pStyle w:val="paragraph"/>
        <w:spacing w:before="0" w:beforeAutospacing="0" w:after="0" w:afterAutospacing="0" w:line="360" w:lineRule="auto"/>
        <w:contextualSpacing/>
        <w:jc w:val="both"/>
        <w:textAlignment w:val="baseline"/>
        <w:rPr>
          <w:rStyle w:val="normaltextrun"/>
          <w:color w:val="1A1A1A"/>
        </w:rPr>
      </w:pPr>
    </w:p>
    <w:p w14:paraId="318BE881" w14:textId="77777777" w:rsidR="00EE36C7" w:rsidRDefault="00EE36C7" w:rsidP="00EE36C7">
      <w:pPr>
        <w:pStyle w:val="paragraph"/>
        <w:spacing w:before="0" w:beforeAutospacing="0" w:after="0" w:afterAutospacing="0" w:line="360" w:lineRule="auto"/>
        <w:contextualSpacing/>
        <w:jc w:val="both"/>
        <w:textAlignment w:val="baseline"/>
        <w:rPr>
          <w:rStyle w:val="normaltextrun"/>
          <w:color w:val="1A1A1A"/>
        </w:rPr>
      </w:pPr>
    </w:p>
    <w:p w14:paraId="5F636BB0" w14:textId="77777777" w:rsidR="00EE36C7" w:rsidRPr="0037342F" w:rsidRDefault="00EE36C7" w:rsidP="00EE36C7">
      <w:pPr>
        <w:pStyle w:val="paragraph"/>
        <w:spacing w:before="0" w:beforeAutospacing="0" w:after="0" w:afterAutospacing="0" w:line="360" w:lineRule="auto"/>
        <w:contextualSpacing/>
        <w:jc w:val="both"/>
        <w:textAlignment w:val="baseline"/>
      </w:pPr>
    </w:p>
    <w:p w14:paraId="04272794" w14:textId="77777777" w:rsidR="00EE36C7" w:rsidRPr="0037342F" w:rsidRDefault="00EE36C7" w:rsidP="00EE36C7">
      <w:pPr>
        <w:spacing w:line="360" w:lineRule="auto"/>
        <w:contextualSpacing/>
        <w:jc w:val="both"/>
        <w:rPr>
          <w:rFonts w:ascii="Times New Roman" w:hAnsi="Times New Roman" w:cs="Times New Roman"/>
        </w:rPr>
      </w:pPr>
    </w:p>
    <w:p w14:paraId="6D261275" w14:textId="77777777" w:rsidR="00FF467E" w:rsidRDefault="00FF467E"/>
    <w:sectPr w:rsidR="00FF467E" w:rsidSect="00F55BF4">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3E575" w14:textId="77777777" w:rsidR="00993D3D" w:rsidRDefault="00993D3D" w:rsidP="00EE36C7">
      <w:r>
        <w:separator/>
      </w:r>
    </w:p>
  </w:endnote>
  <w:endnote w:type="continuationSeparator" w:id="0">
    <w:p w14:paraId="5C98B64B" w14:textId="77777777" w:rsidR="00993D3D" w:rsidRDefault="00993D3D" w:rsidP="00EE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2647374"/>
      <w:docPartObj>
        <w:docPartGallery w:val="Page Numbers (Bottom of Page)"/>
        <w:docPartUnique/>
      </w:docPartObj>
    </w:sdtPr>
    <w:sdtEndPr>
      <w:rPr>
        <w:rStyle w:val="PageNumber"/>
      </w:rPr>
    </w:sdtEndPr>
    <w:sdtContent>
      <w:p w14:paraId="43C37F27" w14:textId="77777777" w:rsidR="00B55180" w:rsidRDefault="00393107" w:rsidP="005A6D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F1D47C" w14:textId="77777777" w:rsidR="00B55180" w:rsidRDefault="00993D3D" w:rsidP="00DB0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3111554"/>
      <w:docPartObj>
        <w:docPartGallery w:val="Page Numbers (Bottom of Page)"/>
        <w:docPartUnique/>
      </w:docPartObj>
    </w:sdtPr>
    <w:sdtEndPr>
      <w:rPr>
        <w:rStyle w:val="PageNumber"/>
        <w:rFonts w:ascii="Times New Roman" w:hAnsi="Times New Roman" w:cs="Times New Roman"/>
      </w:rPr>
    </w:sdtEndPr>
    <w:sdtContent>
      <w:p w14:paraId="75886035" w14:textId="77777777" w:rsidR="00B55180" w:rsidRDefault="00393107" w:rsidP="005A6D6E">
        <w:pPr>
          <w:pStyle w:val="Footer"/>
          <w:framePr w:wrap="none" w:vAnchor="text" w:hAnchor="margin" w:xAlign="right" w:y="1"/>
          <w:rPr>
            <w:rStyle w:val="PageNumber"/>
          </w:rPr>
        </w:pPr>
        <w:r w:rsidRPr="00EE36C7">
          <w:rPr>
            <w:rStyle w:val="PageNumber"/>
            <w:rFonts w:ascii="Times New Roman" w:hAnsi="Times New Roman" w:cs="Times New Roman"/>
            <w:sz w:val="22"/>
            <w:szCs w:val="22"/>
          </w:rPr>
          <w:fldChar w:fldCharType="begin"/>
        </w:r>
        <w:r w:rsidRPr="00EE36C7">
          <w:rPr>
            <w:rStyle w:val="PageNumber"/>
            <w:rFonts w:ascii="Times New Roman" w:hAnsi="Times New Roman" w:cs="Times New Roman"/>
            <w:sz w:val="22"/>
            <w:szCs w:val="22"/>
          </w:rPr>
          <w:instrText xml:space="preserve"> PAGE </w:instrText>
        </w:r>
        <w:r w:rsidRPr="00EE36C7">
          <w:rPr>
            <w:rStyle w:val="PageNumber"/>
            <w:rFonts w:ascii="Times New Roman" w:hAnsi="Times New Roman" w:cs="Times New Roman"/>
            <w:sz w:val="22"/>
            <w:szCs w:val="22"/>
          </w:rPr>
          <w:fldChar w:fldCharType="separate"/>
        </w:r>
        <w:r w:rsidRPr="00EE36C7">
          <w:rPr>
            <w:rStyle w:val="PageNumber"/>
            <w:rFonts w:ascii="Times New Roman" w:hAnsi="Times New Roman" w:cs="Times New Roman"/>
            <w:noProof/>
            <w:sz w:val="22"/>
            <w:szCs w:val="22"/>
          </w:rPr>
          <w:t>19</w:t>
        </w:r>
        <w:r w:rsidRPr="00EE36C7">
          <w:rPr>
            <w:rStyle w:val="PageNumber"/>
            <w:rFonts w:ascii="Times New Roman" w:hAnsi="Times New Roman" w:cs="Times New Roman"/>
            <w:sz w:val="22"/>
            <w:szCs w:val="22"/>
          </w:rPr>
          <w:fldChar w:fldCharType="end"/>
        </w:r>
      </w:p>
    </w:sdtContent>
  </w:sdt>
  <w:p w14:paraId="0BDFC339" w14:textId="77777777" w:rsidR="00B55180" w:rsidRDefault="00993D3D" w:rsidP="00DB06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267F" w14:textId="77777777" w:rsidR="00993D3D" w:rsidRDefault="00993D3D" w:rsidP="00EE36C7">
      <w:r>
        <w:separator/>
      </w:r>
    </w:p>
  </w:footnote>
  <w:footnote w:type="continuationSeparator" w:id="0">
    <w:p w14:paraId="79ECD0F9" w14:textId="77777777" w:rsidR="00993D3D" w:rsidRDefault="00993D3D" w:rsidP="00EE36C7">
      <w:r>
        <w:continuationSeparator/>
      </w:r>
    </w:p>
  </w:footnote>
  <w:footnote w:id="1">
    <w:p w14:paraId="5E9D5169" w14:textId="6258AC52" w:rsidR="00EE36C7" w:rsidRPr="00152608" w:rsidRDefault="00EE36C7" w:rsidP="00EE36C7">
      <w:pPr>
        <w:autoSpaceDE w:val="0"/>
        <w:autoSpaceDN w:val="0"/>
        <w:adjustRightInd w:val="0"/>
        <w:jc w:val="both"/>
        <w:rPr>
          <w:rFonts w:ascii="Times New Roman" w:hAnsi="Times New Roman" w:cs="Times New Roman"/>
          <w:sz w:val="20"/>
          <w:szCs w:val="20"/>
        </w:rPr>
      </w:pPr>
      <w:r w:rsidRPr="00152608">
        <w:rPr>
          <w:rStyle w:val="FootnoteReference"/>
          <w:rFonts w:ascii="Times New Roman" w:hAnsi="Times New Roman" w:cs="Times New Roman"/>
          <w:sz w:val="20"/>
          <w:szCs w:val="20"/>
        </w:rPr>
        <w:footnoteRef/>
      </w:r>
      <w:r w:rsidRPr="00152608">
        <w:rPr>
          <w:rFonts w:ascii="Times New Roman" w:hAnsi="Times New Roman" w:cs="Times New Roman"/>
          <w:sz w:val="20"/>
          <w:szCs w:val="20"/>
        </w:rPr>
        <w:t xml:space="preserve"> This submission was led by students (Justyna </w:t>
      </w:r>
      <w:proofErr w:type="spellStart"/>
      <w:r w:rsidRPr="00152608">
        <w:rPr>
          <w:rFonts w:ascii="Times New Roman" w:hAnsi="Times New Roman" w:cs="Times New Roman"/>
          <w:sz w:val="20"/>
          <w:szCs w:val="20"/>
        </w:rPr>
        <w:t>Granacka</w:t>
      </w:r>
      <w:proofErr w:type="spellEnd"/>
      <w:r w:rsidRPr="00152608">
        <w:rPr>
          <w:rFonts w:ascii="Times New Roman" w:hAnsi="Times New Roman" w:cs="Times New Roman"/>
          <w:sz w:val="20"/>
          <w:szCs w:val="20"/>
        </w:rPr>
        <w:t xml:space="preserve">, Daniel Watson, Rebecca Poots, Meghan Hoyt, Alannah Faulkner, Emer Smyth, Laura Martin Rosemary Cowan, Alexandra Cook, Cameron </w:t>
      </w:r>
      <w:proofErr w:type="spellStart"/>
      <w:r w:rsidRPr="00152608">
        <w:rPr>
          <w:rFonts w:ascii="Times New Roman" w:hAnsi="Times New Roman" w:cs="Times New Roman"/>
          <w:sz w:val="20"/>
          <w:szCs w:val="20"/>
        </w:rPr>
        <w:t>Chisim</w:t>
      </w:r>
      <w:proofErr w:type="spellEnd"/>
      <w:r w:rsidRPr="00152608">
        <w:rPr>
          <w:rFonts w:ascii="Times New Roman" w:hAnsi="Times New Roman" w:cs="Times New Roman"/>
          <w:sz w:val="20"/>
          <w:szCs w:val="20"/>
        </w:rPr>
        <w:t xml:space="preserve">, Sara Racicot, Timothy Carson, Antonia Boorman, Nicolas Saddler), supported by Law School staff (Dr Eithne Dowds, </w:t>
      </w:r>
      <w:r w:rsidR="00524945" w:rsidRPr="00152608">
        <w:rPr>
          <w:rFonts w:ascii="Times New Roman" w:hAnsi="Times New Roman" w:cs="Times New Roman"/>
          <w:sz w:val="20"/>
          <w:szCs w:val="20"/>
        </w:rPr>
        <w:t xml:space="preserve">Ms. </w:t>
      </w:r>
      <w:r w:rsidRPr="00152608">
        <w:rPr>
          <w:rFonts w:ascii="Times New Roman" w:hAnsi="Times New Roman" w:cs="Times New Roman"/>
          <w:sz w:val="20"/>
          <w:szCs w:val="20"/>
        </w:rPr>
        <w:t>Sarah Craig, Dr Elizabeth Agnew).</w:t>
      </w:r>
    </w:p>
  </w:footnote>
  <w:footnote w:id="2">
    <w:p w14:paraId="54491989" w14:textId="77777777" w:rsidR="00EE36C7" w:rsidRDefault="00EE36C7" w:rsidP="00EE36C7">
      <w:pPr>
        <w:pStyle w:val="FootnoteText"/>
      </w:pPr>
      <w:r w:rsidRPr="00152608">
        <w:rPr>
          <w:rStyle w:val="FootnoteReference"/>
          <w:rFonts w:ascii="Times New Roman" w:hAnsi="Times New Roman" w:cs="Times New Roman"/>
        </w:rPr>
        <w:footnoteRef/>
      </w:r>
      <w:r w:rsidRPr="00152608">
        <w:rPr>
          <w:rFonts w:ascii="Times New Roman" w:hAnsi="Times New Roman" w:cs="Times New Roman"/>
        </w:rPr>
        <w:t xml:space="preserve"> [1993] 2 WLR 556.</w:t>
      </w:r>
    </w:p>
  </w:footnote>
  <w:footnote w:id="3">
    <w:p w14:paraId="1365884B" w14:textId="77777777" w:rsidR="00EE36C7" w:rsidRPr="00152608" w:rsidRDefault="00EE36C7" w:rsidP="00EE36C7">
      <w:pPr>
        <w:pStyle w:val="FootnoteText"/>
        <w:jc w:val="both"/>
        <w:rPr>
          <w:rFonts w:ascii="Times New Roman" w:hAnsi="Times New Roman" w:cs="Times New Roman"/>
        </w:rPr>
      </w:pPr>
      <w:r w:rsidRPr="00152608">
        <w:rPr>
          <w:rStyle w:val="FootnoteReference"/>
          <w:rFonts w:ascii="Times New Roman" w:hAnsi="Times New Roman" w:cs="Times New Roman"/>
        </w:rPr>
        <w:footnoteRef/>
      </w:r>
      <w:r w:rsidRPr="00152608">
        <w:rPr>
          <w:rFonts w:ascii="Times New Roman" w:hAnsi="Times New Roman" w:cs="Times New Roman"/>
        </w:rPr>
        <w:t xml:space="preserve"> Ibid at 559. </w:t>
      </w:r>
    </w:p>
  </w:footnote>
  <w:footnote w:id="4">
    <w:p w14:paraId="392A71D3" w14:textId="2A54F784" w:rsidR="00EE36C7" w:rsidRPr="00152608" w:rsidRDefault="00EE36C7" w:rsidP="00EE36C7">
      <w:pPr>
        <w:pStyle w:val="FootnoteText"/>
        <w:jc w:val="both"/>
        <w:rPr>
          <w:rFonts w:ascii="Times New Roman" w:hAnsi="Times New Roman" w:cs="Times New Roman"/>
        </w:rPr>
      </w:pPr>
      <w:r w:rsidRPr="00152608">
        <w:rPr>
          <w:rStyle w:val="FootnoteReference"/>
          <w:rFonts w:ascii="Times New Roman" w:hAnsi="Times New Roman" w:cs="Times New Roman"/>
        </w:rPr>
        <w:footnoteRef/>
      </w:r>
      <w:r w:rsidRPr="00152608">
        <w:rPr>
          <w:rFonts w:ascii="Times New Roman" w:hAnsi="Times New Roman" w:cs="Times New Roman"/>
        </w:rPr>
        <w:t xml:space="preserve"> Ibid at 566. </w:t>
      </w:r>
    </w:p>
  </w:footnote>
  <w:footnote w:id="5">
    <w:p w14:paraId="2C5D778E" w14:textId="77777777" w:rsidR="00EE36C7" w:rsidRPr="00152608" w:rsidRDefault="00EE36C7" w:rsidP="00EE36C7">
      <w:pPr>
        <w:pStyle w:val="FootnoteText"/>
        <w:jc w:val="both"/>
        <w:rPr>
          <w:rFonts w:ascii="Times New Roman" w:hAnsi="Times New Roman" w:cs="Times New Roman"/>
        </w:rPr>
      </w:pPr>
      <w:r w:rsidRPr="00152608">
        <w:rPr>
          <w:rStyle w:val="FootnoteReference"/>
          <w:rFonts w:ascii="Times New Roman" w:hAnsi="Times New Roman" w:cs="Times New Roman"/>
        </w:rPr>
        <w:footnoteRef/>
      </w:r>
      <w:r w:rsidRPr="00152608">
        <w:rPr>
          <w:rFonts w:ascii="Times New Roman" w:hAnsi="Times New Roman" w:cs="Times New Roman"/>
        </w:rPr>
        <w:t xml:space="preserve"> Ibid at 584. </w:t>
      </w:r>
    </w:p>
  </w:footnote>
  <w:footnote w:id="6">
    <w:p w14:paraId="18C05C81" w14:textId="44A6B135" w:rsidR="00EE36C7" w:rsidRPr="00152608" w:rsidRDefault="00EE36C7" w:rsidP="00EE36C7">
      <w:pPr>
        <w:pStyle w:val="FootnoteText"/>
        <w:jc w:val="both"/>
        <w:rPr>
          <w:rFonts w:ascii="Times New Roman" w:hAnsi="Times New Roman" w:cs="Times New Roman"/>
        </w:rPr>
      </w:pPr>
      <w:r w:rsidRPr="006931F7">
        <w:rPr>
          <w:rStyle w:val="FootnoteReference"/>
          <w:rFonts w:ascii="Times New Roman" w:hAnsi="Times New Roman" w:cs="Times New Roman"/>
        </w:rPr>
        <w:footnoteRef/>
      </w:r>
      <w:r w:rsidRPr="006931F7">
        <w:rPr>
          <w:rFonts w:ascii="Times New Roman" w:hAnsi="Times New Roman" w:cs="Times New Roman"/>
        </w:rPr>
        <w:t xml:space="preserve"> H Bows and J Herring, ‘Getting Away with Murder? A Review of the ‘Rough Sex Defence’ (2020)</w:t>
      </w:r>
      <w:r w:rsidR="006931F7" w:rsidRPr="006931F7">
        <w:rPr>
          <w:rFonts w:ascii="Times New Roman" w:hAnsi="Times New Roman" w:cs="Times New Roman"/>
        </w:rPr>
        <w:t xml:space="preserve"> 84(6)</w:t>
      </w:r>
      <w:r w:rsidRPr="006931F7">
        <w:rPr>
          <w:rFonts w:ascii="Times New Roman" w:hAnsi="Times New Roman" w:cs="Times New Roman"/>
        </w:rPr>
        <w:t xml:space="preserve"> </w:t>
      </w:r>
      <w:r w:rsidRPr="006931F7">
        <w:rPr>
          <w:rFonts w:ascii="Times New Roman" w:hAnsi="Times New Roman" w:cs="Times New Roman"/>
          <w:i/>
          <w:iCs/>
        </w:rPr>
        <w:t>Journal of  Criminal Law</w:t>
      </w:r>
      <w:r w:rsidRPr="006931F7">
        <w:rPr>
          <w:rFonts w:ascii="Times New Roman" w:hAnsi="Times New Roman" w:cs="Times New Roman"/>
        </w:rPr>
        <w:t xml:space="preserve"> </w:t>
      </w:r>
      <w:r w:rsidR="006931F7">
        <w:rPr>
          <w:rFonts w:ascii="Times New Roman" w:hAnsi="Times New Roman" w:cs="Times New Roman"/>
        </w:rPr>
        <w:t>525, 528.</w:t>
      </w:r>
      <w:r w:rsidRPr="00152608">
        <w:rPr>
          <w:rFonts w:ascii="Times New Roman" w:hAnsi="Times New Roman" w:cs="Times New Roman"/>
        </w:rPr>
        <w:t xml:space="preserve"> </w:t>
      </w:r>
    </w:p>
  </w:footnote>
  <w:footnote w:id="7">
    <w:p w14:paraId="002F0233" w14:textId="12FB5F05" w:rsidR="00152608" w:rsidRPr="00152608" w:rsidRDefault="00152608" w:rsidP="00152608">
      <w:pPr>
        <w:pStyle w:val="FootnoteText"/>
        <w:jc w:val="both"/>
        <w:rPr>
          <w:rFonts w:ascii="Times New Roman" w:hAnsi="Times New Roman" w:cs="Times New Roman"/>
        </w:rPr>
      </w:pPr>
      <w:r w:rsidRPr="00152608">
        <w:rPr>
          <w:rStyle w:val="FootnoteReference"/>
          <w:rFonts w:ascii="Times New Roman" w:hAnsi="Times New Roman" w:cs="Times New Roman"/>
        </w:rPr>
        <w:footnoteRef/>
      </w:r>
      <w:r w:rsidRPr="00152608">
        <w:rPr>
          <w:rFonts w:ascii="Times New Roman" w:hAnsi="Times New Roman" w:cs="Times New Roman"/>
        </w:rPr>
        <w:t xml:space="preserve"> HC </w:t>
      </w:r>
      <w:r>
        <w:rPr>
          <w:rFonts w:ascii="Times New Roman" w:hAnsi="Times New Roman" w:cs="Times New Roman"/>
        </w:rPr>
        <w:t>Deb 2 October 2019, vol 664, col 1278 &lt;</w:t>
      </w:r>
      <w:hyperlink r:id="rId1" w:history="1">
        <w:r w:rsidRPr="00386E21">
          <w:rPr>
            <w:rStyle w:val="Hyperlink"/>
            <w:rFonts w:ascii="Times New Roman" w:hAnsi="Times New Roman" w:cs="Times New Roman"/>
          </w:rPr>
          <w:t>https://hansard.parliament.uk/commons/2019-10-02/debates/C34 88538-CFEC-4670-9299-732672E2BE67/DomesticAbuseBill</w:t>
        </w:r>
      </w:hyperlink>
      <w:r>
        <w:rPr>
          <w:rFonts w:ascii="Times New Roman" w:hAnsi="Times New Roman" w:cs="Times New Roman"/>
        </w:rPr>
        <w:t xml:space="preserve">&gt; Accessed on 11 December 2020.    </w:t>
      </w:r>
    </w:p>
  </w:footnote>
  <w:footnote w:id="8">
    <w:p w14:paraId="4DB30159" w14:textId="2201DF80" w:rsidR="00EE36C7" w:rsidRPr="00DB06B6" w:rsidRDefault="00EE36C7" w:rsidP="00EE36C7">
      <w:pPr>
        <w:pStyle w:val="FootnoteText"/>
        <w:jc w:val="both"/>
        <w:rPr>
          <w:rFonts w:ascii="Times New Roman" w:hAnsi="Times New Roman" w:cs="Times New Roman"/>
        </w:rPr>
      </w:pPr>
      <w:r w:rsidRPr="00152608">
        <w:rPr>
          <w:rStyle w:val="FootnoteReference"/>
          <w:rFonts w:ascii="Times New Roman" w:hAnsi="Times New Roman" w:cs="Times New Roman"/>
        </w:rPr>
        <w:footnoteRef/>
      </w:r>
      <w:r w:rsidRPr="00152608">
        <w:rPr>
          <w:rFonts w:ascii="Times New Roman" w:hAnsi="Times New Roman" w:cs="Times New Roman"/>
        </w:rPr>
        <w:t xml:space="preserve"> [1996] 3 WL</w:t>
      </w:r>
      <w:r w:rsidR="00B939F6">
        <w:rPr>
          <w:rFonts w:ascii="Times New Roman" w:hAnsi="Times New Roman" w:cs="Times New Roman"/>
        </w:rPr>
        <w:t>R</w:t>
      </w:r>
      <w:r w:rsidRPr="00152608">
        <w:rPr>
          <w:rFonts w:ascii="Times New Roman" w:hAnsi="Times New Roman" w:cs="Times New Roman"/>
        </w:rPr>
        <w:t xml:space="preserve"> 125.</w:t>
      </w:r>
      <w:r w:rsidRPr="00DB06B6">
        <w:rPr>
          <w:rFonts w:ascii="Times New Roman" w:hAnsi="Times New Roman" w:cs="Times New Roman"/>
        </w:rPr>
        <w:t xml:space="preserve"> </w:t>
      </w:r>
    </w:p>
  </w:footnote>
  <w:footnote w:id="9">
    <w:p w14:paraId="674781EE" w14:textId="77777777" w:rsidR="00EE36C7" w:rsidRPr="00002E91" w:rsidRDefault="00EE36C7" w:rsidP="00EE36C7">
      <w:pPr>
        <w:pStyle w:val="FootnoteText"/>
        <w:jc w:val="both"/>
        <w:rPr>
          <w:rFonts w:ascii="Times New Roman" w:hAnsi="Times New Roman" w:cs="Times New Roman"/>
        </w:rPr>
      </w:pPr>
      <w:r w:rsidRPr="00002E91">
        <w:rPr>
          <w:rStyle w:val="FootnoteReference"/>
          <w:rFonts w:ascii="Times New Roman" w:hAnsi="Times New Roman" w:cs="Times New Roman"/>
        </w:rPr>
        <w:footnoteRef/>
      </w:r>
      <w:r w:rsidRPr="00002E91">
        <w:rPr>
          <w:rFonts w:ascii="Times New Roman" w:hAnsi="Times New Roman" w:cs="Times New Roman"/>
        </w:rPr>
        <w:t xml:space="preserve"> [1993] 2 WLR 556 at 583. Emphasis added. </w:t>
      </w:r>
    </w:p>
  </w:footnote>
  <w:footnote w:id="10">
    <w:p w14:paraId="3D50760E" w14:textId="77777777" w:rsidR="00EE36C7" w:rsidRPr="00002E91" w:rsidRDefault="00EE36C7" w:rsidP="00EE36C7">
      <w:pPr>
        <w:pStyle w:val="FootnoteText"/>
        <w:jc w:val="both"/>
        <w:rPr>
          <w:rFonts w:ascii="Times New Roman" w:hAnsi="Times New Roman" w:cs="Times New Roman"/>
        </w:rPr>
      </w:pPr>
      <w:r w:rsidRPr="00002E91">
        <w:rPr>
          <w:rStyle w:val="FootnoteReference"/>
          <w:rFonts w:ascii="Times New Roman" w:hAnsi="Times New Roman" w:cs="Times New Roman"/>
        </w:rPr>
        <w:footnoteRef/>
      </w:r>
      <w:r w:rsidRPr="00002E91">
        <w:rPr>
          <w:rFonts w:ascii="Times New Roman" w:hAnsi="Times New Roman" w:cs="Times New Roman"/>
        </w:rPr>
        <w:t xml:space="preserve"> [1999] EWCA Crim 1710. </w:t>
      </w:r>
    </w:p>
  </w:footnote>
  <w:footnote w:id="11">
    <w:p w14:paraId="52CDD4D2" w14:textId="77777777" w:rsidR="00EE36C7" w:rsidRPr="00002E91" w:rsidRDefault="00EE36C7" w:rsidP="00EE36C7">
      <w:pPr>
        <w:pStyle w:val="FootnoteText"/>
        <w:jc w:val="both"/>
        <w:rPr>
          <w:rFonts w:ascii="Times New Roman" w:hAnsi="Times New Roman" w:cs="Times New Roman"/>
        </w:rPr>
      </w:pPr>
      <w:r w:rsidRPr="00002E91">
        <w:rPr>
          <w:rStyle w:val="FootnoteReference"/>
          <w:rFonts w:ascii="Times New Roman" w:hAnsi="Times New Roman" w:cs="Times New Roman"/>
        </w:rPr>
        <w:footnoteRef/>
      </w:r>
      <w:r w:rsidRPr="00002E91">
        <w:rPr>
          <w:rFonts w:ascii="Times New Roman" w:hAnsi="Times New Roman" w:cs="Times New Roman"/>
        </w:rPr>
        <w:t xml:space="preserve"> [1995] Crim LR 570. </w:t>
      </w:r>
    </w:p>
  </w:footnote>
  <w:footnote w:id="12">
    <w:p w14:paraId="3D6A5F0C" w14:textId="12B35F32" w:rsidR="00EE36C7" w:rsidRPr="00002E91" w:rsidRDefault="00EE36C7" w:rsidP="00EE36C7">
      <w:pPr>
        <w:pStyle w:val="FootnoteText"/>
        <w:jc w:val="both"/>
        <w:rPr>
          <w:rFonts w:ascii="Times New Roman" w:hAnsi="Times New Roman" w:cs="Times New Roman"/>
        </w:rPr>
      </w:pPr>
      <w:r w:rsidRPr="00002E91">
        <w:rPr>
          <w:rStyle w:val="FootnoteReference"/>
          <w:rFonts w:ascii="Times New Roman" w:hAnsi="Times New Roman" w:cs="Times New Roman"/>
        </w:rPr>
        <w:footnoteRef/>
      </w:r>
      <w:r w:rsidRPr="00002E91">
        <w:rPr>
          <w:rFonts w:ascii="Times New Roman" w:hAnsi="Times New Roman" w:cs="Times New Roman"/>
        </w:rPr>
        <w:t xml:space="preserve"> Ibid </w:t>
      </w:r>
      <w:r w:rsidR="00385CDF" w:rsidRPr="00002E91">
        <w:rPr>
          <w:rFonts w:ascii="Times New Roman" w:hAnsi="Times New Roman" w:cs="Times New Roman"/>
        </w:rPr>
        <w:t xml:space="preserve">at </w:t>
      </w:r>
      <w:r w:rsidRPr="00002E91">
        <w:rPr>
          <w:rFonts w:ascii="Times New Roman" w:hAnsi="Times New Roman" w:cs="Times New Roman"/>
        </w:rPr>
        <w:t xml:space="preserve">571. </w:t>
      </w:r>
    </w:p>
  </w:footnote>
  <w:footnote w:id="13">
    <w:p w14:paraId="34CD1245" w14:textId="77777777" w:rsidR="00EE36C7" w:rsidRPr="00002E91" w:rsidRDefault="00EE36C7" w:rsidP="00EE36C7">
      <w:pPr>
        <w:pStyle w:val="FootnoteText"/>
        <w:jc w:val="both"/>
        <w:rPr>
          <w:rFonts w:ascii="Times New Roman" w:hAnsi="Times New Roman" w:cs="Times New Roman"/>
        </w:rPr>
      </w:pPr>
      <w:r w:rsidRPr="00002E91">
        <w:rPr>
          <w:rStyle w:val="FootnoteReference"/>
          <w:rFonts w:ascii="Times New Roman" w:hAnsi="Times New Roman" w:cs="Times New Roman"/>
        </w:rPr>
        <w:footnoteRef/>
      </w:r>
      <w:r w:rsidRPr="00002E91">
        <w:rPr>
          <w:rFonts w:ascii="Times New Roman" w:hAnsi="Times New Roman" w:cs="Times New Roman"/>
        </w:rPr>
        <w:t>‘Fifty Shades' sex-session assault accused cleared’, BBC News (London, 22 January 2013) &lt;</w:t>
      </w:r>
      <w:hyperlink r:id="rId2" w:history="1">
        <w:r w:rsidRPr="00002E91">
          <w:rPr>
            <w:rStyle w:val="Hyperlink"/>
            <w:rFonts w:ascii="Times New Roman" w:hAnsi="Times New Roman" w:cs="Times New Roman"/>
          </w:rPr>
          <w:t>https://www.bbc.co .</w:t>
        </w:r>
        <w:proofErr w:type="spellStart"/>
        <w:r w:rsidRPr="00002E91">
          <w:rPr>
            <w:rStyle w:val="Hyperlink"/>
            <w:rFonts w:ascii="Times New Roman" w:hAnsi="Times New Roman" w:cs="Times New Roman"/>
          </w:rPr>
          <w:t>uk</w:t>
        </w:r>
        <w:proofErr w:type="spellEnd"/>
        <w:r w:rsidRPr="00002E91">
          <w:rPr>
            <w:rStyle w:val="Hyperlink"/>
            <w:rFonts w:ascii="Times New Roman" w:hAnsi="Times New Roman" w:cs="Times New Roman"/>
          </w:rPr>
          <w:t>/news/uk-england-suffolk-21145816</w:t>
        </w:r>
      </w:hyperlink>
      <w:r w:rsidRPr="00002E91">
        <w:rPr>
          <w:rFonts w:ascii="Times New Roman" w:hAnsi="Times New Roman" w:cs="Times New Roman"/>
        </w:rPr>
        <w:t xml:space="preserve">&gt; Accessed on 9 December 2020. </w:t>
      </w:r>
    </w:p>
  </w:footnote>
  <w:footnote w:id="14">
    <w:p w14:paraId="3A42C2C6" w14:textId="77777777" w:rsidR="00EE36C7" w:rsidRPr="00DB06B6" w:rsidRDefault="00EE36C7" w:rsidP="00EE36C7">
      <w:pPr>
        <w:pStyle w:val="FootnoteText"/>
        <w:jc w:val="both"/>
        <w:rPr>
          <w:rFonts w:ascii="Times New Roman" w:hAnsi="Times New Roman" w:cs="Times New Roman"/>
        </w:rPr>
      </w:pPr>
      <w:r w:rsidRPr="00002E91">
        <w:rPr>
          <w:rStyle w:val="FootnoteReference"/>
          <w:rFonts w:ascii="Times New Roman" w:hAnsi="Times New Roman" w:cs="Times New Roman"/>
        </w:rPr>
        <w:footnoteRef/>
      </w:r>
      <w:r w:rsidRPr="00002E91">
        <w:rPr>
          <w:rFonts w:ascii="Times New Roman" w:hAnsi="Times New Roman" w:cs="Times New Roman"/>
        </w:rPr>
        <w:t xml:space="preserve"> [2004] EWCA Crim 3246.</w:t>
      </w:r>
      <w:r w:rsidRPr="00DB06B6">
        <w:rPr>
          <w:rFonts w:ascii="Times New Roman" w:hAnsi="Times New Roman" w:cs="Times New Roman"/>
        </w:rPr>
        <w:t xml:space="preserve"> </w:t>
      </w:r>
    </w:p>
  </w:footnote>
  <w:footnote w:id="15">
    <w:p w14:paraId="2E36FA60" w14:textId="77777777" w:rsidR="00EE36C7" w:rsidRPr="000E56F4" w:rsidRDefault="00EE36C7" w:rsidP="00EE36C7">
      <w:pPr>
        <w:pStyle w:val="FootnoteText"/>
        <w:jc w:val="both"/>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BBC News (n 13). </w:t>
      </w:r>
    </w:p>
  </w:footnote>
  <w:footnote w:id="16">
    <w:p w14:paraId="0E30038E" w14:textId="77777777" w:rsidR="00EE36C7" w:rsidRPr="000E56F4" w:rsidRDefault="00EE36C7" w:rsidP="00EE36C7">
      <w:pPr>
        <w:pStyle w:val="FootnoteText"/>
        <w:jc w:val="both"/>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[2018] EWCA Crim 560. </w:t>
      </w:r>
    </w:p>
  </w:footnote>
  <w:footnote w:id="17">
    <w:p w14:paraId="6305076C" w14:textId="77777777" w:rsidR="00EE36C7" w:rsidRPr="000E56F4" w:rsidRDefault="00EE36C7" w:rsidP="00EE36C7">
      <w:pPr>
        <w:pStyle w:val="FootnoteText"/>
        <w:jc w:val="both"/>
        <w:rPr>
          <w:rFonts w:ascii="Times New Roman" w:hAnsi="Times New Roman" w:cs="Times New Roman"/>
          <w:lang w:val="en-US"/>
        </w:rPr>
      </w:pPr>
      <w:r w:rsidRPr="000E56F4">
        <w:rPr>
          <w:rStyle w:val="FootnoteReference"/>
          <w:rFonts w:ascii="Times New Roman" w:hAnsi="Times New Roman" w:cs="Times New Roman"/>
        </w:rPr>
        <w:footnoteRef/>
      </w:r>
      <w:r w:rsidRPr="000E56F4">
        <w:rPr>
          <w:rFonts w:ascii="Times New Roman" w:hAnsi="Times New Roman" w:cs="Times New Roman"/>
        </w:rPr>
        <w:t xml:space="preserve"> </w:t>
      </w:r>
      <w:r w:rsidRPr="000E56F4">
        <w:rPr>
          <w:rFonts w:ascii="Times New Roman" w:hAnsi="Times New Roman" w:cs="Times New Roman"/>
          <w:lang w:val="en-US"/>
        </w:rPr>
        <w:t xml:space="preserve"> Ibid [33].</w:t>
      </w:r>
    </w:p>
  </w:footnote>
  <w:footnote w:id="18">
    <w:p w14:paraId="193B8EBD" w14:textId="0C5C6FF3" w:rsidR="00002E91" w:rsidRPr="000E56F4" w:rsidRDefault="00002E91">
      <w:pPr>
        <w:pStyle w:val="FootnoteText"/>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J Herring, ‘</w:t>
      </w:r>
      <w:r w:rsidRPr="000E56F4">
        <w:rPr>
          <w:rFonts w:ascii="Times New Roman" w:hAnsi="Times New Roman" w:cs="Times New Roman"/>
          <w:i/>
          <w:iCs/>
        </w:rPr>
        <w:t xml:space="preserve">R v Brown </w:t>
      </w:r>
      <w:r w:rsidRPr="000E56F4">
        <w:rPr>
          <w:rFonts w:ascii="Times New Roman" w:hAnsi="Times New Roman" w:cs="Times New Roman"/>
        </w:rPr>
        <w:t xml:space="preserve">(1993)’ in P Handler, H Mares and I Williams (eds) </w:t>
      </w:r>
      <w:r w:rsidRPr="000E56F4">
        <w:rPr>
          <w:rFonts w:ascii="Times New Roman" w:hAnsi="Times New Roman" w:cs="Times New Roman"/>
          <w:i/>
          <w:iCs/>
        </w:rPr>
        <w:t xml:space="preserve">Landmark Cases in Criminal Law </w:t>
      </w:r>
      <w:r w:rsidRPr="000E56F4">
        <w:rPr>
          <w:rFonts w:ascii="Times New Roman" w:hAnsi="Times New Roman" w:cs="Times New Roman"/>
        </w:rPr>
        <w:t xml:space="preserve">(Hart Publishing 2017) 333, 348. </w:t>
      </w:r>
    </w:p>
  </w:footnote>
  <w:footnote w:id="19">
    <w:p w14:paraId="7206CEF6" w14:textId="77777777" w:rsidR="00EE36C7" w:rsidRPr="000E56F4" w:rsidRDefault="00EE36C7" w:rsidP="00EE36C7">
      <w:pPr>
        <w:pStyle w:val="FootnoteText"/>
        <w:jc w:val="both"/>
        <w:rPr>
          <w:rFonts w:ascii="Times New Roman" w:hAnsi="Times New Roman" w:cs="Times New Roman"/>
          <w:lang w:val="en-US"/>
        </w:rPr>
      </w:pPr>
      <w:r w:rsidRPr="000E56F4">
        <w:rPr>
          <w:rStyle w:val="FootnoteReference"/>
          <w:rFonts w:ascii="Times New Roman" w:hAnsi="Times New Roman" w:cs="Times New Roman"/>
        </w:rPr>
        <w:footnoteRef/>
      </w:r>
      <w:r w:rsidRPr="000E56F4">
        <w:rPr>
          <w:rFonts w:ascii="Times New Roman" w:hAnsi="Times New Roman" w:cs="Times New Roman"/>
        </w:rPr>
        <w:t xml:space="preserve"> Recent examples include the murder of British backpacker </w:t>
      </w:r>
      <w:r w:rsidRPr="000E56F4">
        <w:rPr>
          <w:rFonts w:ascii="Times New Roman" w:hAnsi="Times New Roman" w:cs="Times New Roman"/>
          <w:lang w:val="en-US"/>
        </w:rPr>
        <w:t xml:space="preserve">Grace </w:t>
      </w:r>
      <w:proofErr w:type="spellStart"/>
      <w:r w:rsidRPr="000E56F4">
        <w:rPr>
          <w:rFonts w:ascii="Times New Roman" w:hAnsi="Times New Roman" w:cs="Times New Roman"/>
          <w:lang w:val="en-US"/>
        </w:rPr>
        <w:t>Millane</w:t>
      </w:r>
      <w:proofErr w:type="spellEnd"/>
      <w:r w:rsidRPr="000E56F4">
        <w:rPr>
          <w:rFonts w:ascii="Times New Roman" w:hAnsi="Times New Roman" w:cs="Times New Roman"/>
          <w:lang w:val="en-US"/>
        </w:rPr>
        <w:t xml:space="preserve"> in New Zealand and of Patrycja </w:t>
      </w:r>
      <w:proofErr w:type="spellStart"/>
      <w:r w:rsidRPr="000E56F4">
        <w:rPr>
          <w:rFonts w:ascii="Times New Roman" w:hAnsi="Times New Roman" w:cs="Times New Roman"/>
          <w:lang w:val="en-US"/>
        </w:rPr>
        <w:t>Wyrebek</w:t>
      </w:r>
      <w:proofErr w:type="spellEnd"/>
      <w:r w:rsidRPr="000E56F4">
        <w:rPr>
          <w:rFonts w:ascii="Times New Roman" w:hAnsi="Times New Roman" w:cs="Times New Roman"/>
          <w:lang w:val="en-US"/>
        </w:rPr>
        <w:t xml:space="preserve"> in </w:t>
      </w:r>
      <w:proofErr w:type="spellStart"/>
      <w:r w:rsidRPr="000E56F4">
        <w:rPr>
          <w:rFonts w:ascii="Times New Roman" w:hAnsi="Times New Roman" w:cs="Times New Roman"/>
          <w:lang w:val="en-US"/>
        </w:rPr>
        <w:t>Newry</w:t>
      </w:r>
      <w:proofErr w:type="spellEnd"/>
      <w:r w:rsidRPr="000E56F4">
        <w:rPr>
          <w:rFonts w:ascii="Times New Roman" w:hAnsi="Times New Roman" w:cs="Times New Roman"/>
          <w:lang w:val="en-US"/>
        </w:rPr>
        <w:t xml:space="preserve">. See: Eleanor Ainge Roy, ‘Grace </w:t>
      </w:r>
      <w:proofErr w:type="spellStart"/>
      <w:r w:rsidRPr="000E56F4">
        <w:rPr>
          <w:rFonts w:ascii="Times New Roman" w:hAnsi="Times New Roman" w:cs="Times New Roman"/>
          <w:lang w:val="en-US"/>
        </w:rPr>
        <w:t>Millane</w:t>
      </w:r>
      <w:proofErr w:type="spellEnd"/>
      <w:r w:rsidRPr="000E56F4">
        <w:rPr>
          <w:rFonts w:ascii="Times New Roman" w:hAnsi="Times New Roman" w:cs="Times New Roman"/>
          <w:lang w:val="en-US"/>
        </w:rPr>
        <w:t xml:space="preserve"> Murder: man jailed for life for killing UK backpacker’ </w:t>
      </w:r>
      <w:r w:rsidRPr="000E56F4">
        <w:rPr>
          <w:rFonts w:ascii="Times New Roman" w:hAnsi="Times New Roman" w:cs="Times New Roman"/>
          <w:i/>
          <w:iCs/>
          <w:lang w:val="en-US"/>
        </w:rPr>
        <w:t xml:space="preserve">Guardian </w:t>
      </w:r>
      <w:r w:rsidRPr="000E56F4">
        <w:rPr>
          <w:rFonts w:ascii="Times New Roman" w:hAnsi="Times New Roman" w:cs="Times New Roman"/>
          <w:lang w:val="en-US"/>
        </w:rPr>
        <w:t>(Manchester, 20 February 2020) &lt;</w:t>
      </w:r>
      <w:hyperlink r:id="rId3" w:history="1">
        <w:r w:rsidRPr="000E56F4">
          <w:rPr>
            <w:rStyle w:val="Hyperlink"/>
            <w:rFonts w:ascii="Times New Roman" w:hAnsi="Times New Roman" w:cs="Times New Roman"/>
            <w:lang w:val="en-US"/>
          </w:rPr>
          <w:t>https://www.theguardian.com/world/2020/feb/21/grace-millane-man-jailed-for-life-for-killing-of-uk-backpacker</w:t>
        </w:r>
      </w:hyperlink>
      <w:r w:rsidRPr="000E56F4">
        <w:rPr>
          <w:rFonts w:ascii="Times New Roman" w:hAnsi="Times New Roman" w:cs="Times New Roman"/>
          <w:lang w:val="en-US"/>
        </w:rPr>
        <w:t xml:space="preserve">&gt; Accessed on 6 December 2020;  Kate McCurry, ‘Patrycja </w:t>
      </w:r>
      <w:proofErr w:type="spellStart"/>
      <w:r w:rsidRPr="000E56F4">
        <w:rPr>
          <w:rFonts w:ascii="Times New Roman" w:hAnsi="Times New Roman" w:cs="Times New Roman"/>
          <w:lang w:val="en-US"/>
        </w:rPr>
        <w:t>Wyrebek</w:t>
      </w:r>
      <w:proofErr w:type="spellEnd"/>
      <w:r w:rsidRPr="000E56F4">
        <w:rPr>
          <w:rFonts w:ascii="Times New Roman" w:hAnsi="Times New Roman" w:cs="Times New Roman"/>
          <w:lang w:val="en-US"/>
        </w:rPr>
        <w:t xml:space="preserve"> murder accused claimed 20-year-old died during sex act, court told’ </w:t>
      </w:r>
      <w:r w:rsidRPr="000E56F4">
        <w:rPr>
          <w:rFonts w:ascii="Times New Roman" w:hAnsi="Times New Roman" w:cs="Times New Roman"/>
          <w:i/>
          <w:iCs/>
          <w:lang w:val="en-US"/>
        </w:rPr>
        <w:t>The Irish News</w:t>
      </w:r>
      <w:r w:rsidRPr="000E56F4">
        <w:rPr>
          <w:rFonts w:ascii="Times New Roman" w:hAnsi="Times New Roman" w:cs="Times New Roman"/>
          <w:lang w:val="en-US"/>
        </w:rPr>
        <w:t xml:space="preserve"> (Belfast, 20 August 2020) &lt;</w:t>
      </w:r>
      <w:hyperlink r:id="rId4" w:history="1">
        <w:r w:rsidRPr="000E56F4">
          <w:rPr>
            <w:rStyle w:val="Hyperlink"/>
            <w:rFonts w:ascii="Times New Roman" w:hAnsi="Times New Roman" w:cs="Times New Roman"/>
            <w:lang w:val="en-US"/>
          </w:rPr>
          <w:t>https://www.irishnews.com/news/northernirelandnews/2020/08/06/news/patrycja-wyrebek-murder-accused-claimed-20-year-old-died-during-sex-act-court-told-2028597/</w:t>
        </w:r>
      </w:hyperlink>
      <w:r w:rsidRPr="000E56F4">
        <w:rPr>
          <w:rFonts w:ascii="Times New Roman" w:hAnsi="Times New Roman" w:cs="Times New Roman"/>
          <w:lang w:val="en-US"/>
        </w:rPr>
        <w:t>&gt; Accessed on 6 December 2020.</w:t>
      </w:r>
    </w:p>
  </w:footnote>
  <w:footnote w:id="20">
    <w:p w14:paraId="0A3E9920" w14:textId="6917FF88" w:rsidR="00EE36C7" w:rsidRPr="000E56F4" w:rsidRDefault="00EE36C7" w:rsidP="00EE36C7">
      <w:pPr>
        <w:pStyle w:val="FootnoteText"/>
        <w:jc w:val="both"/>
        <w:rPr>
          <w:rFonts w:ascii="Times New Roman" w:hAnsi="Times New Roman" w:cs="Times New Roman"/>
          <w:lang w:val="en-US"/>
        </w:rPr>
      </w:pPr>
      <w:r w:rsidRPr="000E56F4">
        <w:rPr>
          <w:rStyle w:val="FootnoteReference"/>
          <w:rFonts w:ascii="Times New Roman" w:hAnsi="Times New Roman" w:cs="Times New Roman"/>
        </w:rPr>
        <w:footnoteRef/>
      </w:r>
      <w:r w:rsidRPr="000E56F4">
        <w:rPr>
          <w:rFonts w:ascii="Times New Roman" w:hAnsi="Times New Roman" w:cs="Times New Roman"/>
        </w:rPr>
        <w:t xml:space="preserve"> </w:t>
      </w:r>
      <w:r w:rsidRPr="000E56F4">
        <w:rPr>
          <w:rFonts w:ascii="Times New Roman" w:hAnsi="Times New Roman" w:cs="Times New Roman"/>
          <w:lang w:val="en-US"/>
        </w:rPr>
        <w:t xml:space="preserve">We Can’t Consent </w:t>
      </w:r>
      <w:proofErr w:type="gramStart"/>
      <w:r w:rsidRPr="000E56F4">
        <w:rPr>
          <w:rFonts w:ascii="Times New Roman" w:hAnsi="Times New Roman" w:cs="Times New Roman"/>
          <w:lang w:val="en-US"/>
        </w:rPr>
        <w:t>To</w:t>
      </w:r>
      <w:proofErr w:type="gramEnd"/>
      <w:r w:rsidRPr="000E56F4">
        <w:rPr>
          <w:rFonts w:ascii="Times New Roman" w:hAnsi="Times New Roman" w:cs="Times New Roman"/>
          <w:lang w:val="en-US"/>
        </w:rPr>
        <w:t xml:space="preserve"> This, ‘What Can be Consented to? Briefing on the Use of “Rough Sex” Defences to Violence’ (2019) &lt;</w:t>
      </w:r>
      <w:hyperlink r:id="rId5" w:history="1">
        <w:r w:rsidR="00002E91" w:rsidRPr="000E56F4">
          <w:rPr>
            <w:rStyle w:val="Hyperlink"/>
            <w:rFonts w:ascii="Times New Roman" w:hAnsi="Times New Roman" w:cs="Times New Roman"/>
            <w:lang w:val="en-US"/>
          </w:rPr>
          <w:t>https://wecantconsenttothis.uk</w:t>
        </w:r>
      </w:hyperlink>
      <w:r w:rsidRPr="000E56F4">
        <w:rPr>
          <w:rFonts w:ascii="Times New Roman" w:hAnsi="Times New Roman" w:cs="Times New Roman"/>
          <w:lang w:val="en-US"/>
        </w:rPr>
        <w:t>&gt; Accessed on 5 December 2020.</w:t>
      </w:r>
    </w:p>
  </w:footnote>
  <w:footnote w:id="21">
    <w:p w14:paraId="1E850784" w14:textId="01BBC650" w:rsidR="00EE36C7" w:rsidRPr="00C62805" w:rsidRDefault="00EE36C7" w:rsidP="00EE36C7">
      <w:pPr>
        <w:pStyle w:val="FootnoteText"/>
        <w:jc w:val="both"/>
        <w:rPr>
          <w:rFonts w:ascii="Times New Roman" w:hAnsi="Times New Roman" w:cs="Times New Roman"/>
          <w:lang w:val="en-US"/>
        </w:rPr>
      </w:pPr>
      <w:r w:rsidRPr="000E56F4">
        <w:rPr>
          <w:rStyle w:val="FootnoteReference"/>
          <w:rFonts w:ascii="Times New Roman" w:hAnsi="Times New Roman" w:cs="Times New Roman"/>
        </w:rPr>
        <w:footnoteRef/>
      </w:r>
      <w:r w:rsidRPr="000E56F4">
        <w:rPr>
          <w:rFonts w:ascii="Times New Roman" w:hAnsi="Times New Roman" w:cs="Times New Roman"/>
        </w:rPr>
        <w:t xml:space="preserve"> </w:t>
      </w:r>
      <w:r w:rsidRPr="000E56F4">
        <w:rPr>
          <w:rFonts w:ascii="Times New Roman" w:hAnsi="Times New Roman" w:cs="Times New Roman"/>
          <w:lang w:val="en-US"/>
        </w:rPr>
        <w:t>Bows and Herring (n 6); S Edwards, ‘Consent and the ‘Rough Sex’ Defence in Rape, Murder, Manslaughter and Gross Negligence’</w:t>
      </w:r>
      <w:r w:rsidR="00C62805">
        <w:rPr>
          <w:rFonts w:ascii="Times New Roman" w:hAnsi="Times New Roman" w:cs="Times New Roman"/>
          <w:lang w:val="en-US"/>
        </w:rPr>
        <w:t xml:space="preserve"> (2020) 84(4) </w:t>
      </w:r>
      <w:r w:rsidR="00C62805">
        <w:rPr>
          <w:rFonts w:ascii="Times New Roman" w:hAnsi="Times New Roman" w:cs="Times New Roman"/>
          <w:i/>
          <w:iCs/>
          <w:lang w:val="en-US"/>
        </w:rPr>
        <w:t xml:space="preserve">The Journal of Criminal Law </w:t>
      </w:r>
      <w:r w:rsidR="00C62805">
        <w:rPr>
          <w:rFonts w:ascii="Times New Roman" w:hAnsi="Times New Roman" w:cs="Times New Roman"/>
          <w:lang w:val="en-US"/>
        </w:rPr>
        <w:t xml:space="preserve">293-311. </w:t>
      </w:r>
    </w:p>
  </w:footnote>
  <w:footnote w:id="22">
    <w:p w14:paraId="707E10D7" w14:textId="77777777" w:rsidR="00EE36C7" w:rsidRPr="00DB06B6" w:rsidRDefault="00EE36C7" w:rsidP="00EE36C7">
      <w:pPr>
        <w:pStyle w:val="FootnoteText"/>
        <w:jc w:val="both"/>
        <w:rPr>
          <w:rFonts w:ascii="Times New Roman" w:hAnsi="Times New Roman" w:cs="Times New Roman"/>
          <w:lang w:val="en-US"/>
        </w:rPr>
      </w:pPr>
      <w:r w:rsidRPr="000E56F4">
        <w:rPr>
          <w:rStyle w:val="FootnoteReference"/>
          <w:rFonts w:ascii="Times New Roman" w:hAnsi="Times New Roman" w:cs="Times New Roman"/>
        </w:rPr>
        <w:footnoteRef/>
      </w:r>
      <w:r w:rsidRPr="000E56F4">
        <w:rPr>
          <w:rFonts w:ascii="Times New Roman" w:hAnsi="Times New Roman" w:cs="Times New Roman"/>
        </w:rPr>
        <w:t xml:space="preserve"> </w:t>
      </w:r>
      <w:r w:rsidRPr="000E56F4">
        <w:rPr>
          <w:rFonts w:ascii="Times New Roman" w:hAnsi="Times New Roman" w:cs="Times New Roman"/>
          <w:lang w:val="en-US"/>
        </w:rPr>
        <w:t>Edwards ibid, 293.</w:t>
      </w:r>
    </w:p>
  </w:footnote>
  <w:footnote w:id="23">
    <w:p w14:paraId="2F5909A8" w14:textId="4AA165C8" w:rsidR="00EE36C7" w:rsidRPr="000E56F4" w:rsidRDefault="00EE36C7" w:rsidP="00EE36C7">
      <w:pPr>
        <w:pStyle w:val="FootnoteText"/>
        <w:jc w:val="both"/>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Judiciary of England and Wales, ‘R v John Broadhurst: Sentencing Remarks’ (17 December 2018) &lt;</w:t>
      </w:r>
      <w:hyperlink w:history="1">
        <w:r w:rsidR="00C62805" w:rsidRPr="00386E21">
          <w:rPr>
            <w:rStyle w:val="Hyperlink"/>
            <w:rFonts w:ascii="Times New Roman" w:hAnsi="Times New Roman" w:cs="Times New Roman"/>
          </w:rPr>
          <w:t>https:// www.judiciary.uk/wp-content/uploads/2018/12/broadhurst-sentencing-remarks.pdf</w:t>
        </w:r>
      </w:hyperlink>
      <w:r w:rsidRPr="000E56F4">
        <w:rPr>
          <w:rFonts w:ascii="Times New Roman" w:hAnsi="Times New Roman" w:cs="Times New Roman"/>
        </w:rPr>
        <w:t xml:space="preserve">&gt; Accessed on 12 December 2020. In the case itself, it was not clear how Connolly died: from her injuries or as a result of the concentrations of alcohol and cocaine in her blood. </w:t>
      </w:r>
    </w:p>
  </w:footnote>
  <w:footnote w:id="24">
    <w:p w14:paraId="05D44E1F" w14:textId="22F2F53B" w:rsidR="00EE36C7" w:rsidRPr="000E56F4" w:rsidRDefault="00EE36C7" w:rsidP="00EE36C7">
      <w:pPr>
        <w:pStyle w:val="FootnoteText"/>
        <w:jc w:val="both"/>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Ibid [22]. </w:t>
      </w:r>
    </w:p>
  </w:footnote>
  <w:footnote w:id="25">
    <w:p w14:paraId="3CC5B7CE" w14:textId="61B76835" w:rsidR="00EE36C7" w:rsidRPr="000E56F4" w:rsidRDefault="00EE36C7" w:rsidP="00EE36C7">
      <w:pPr>
        <w:pStyle w:val="FootnoteText"/>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Ibid [26].</w:t>
      </w:r>
    </w:p>
  </w:footnote>
  <w:footnote w:id="26">
    <w:p w14:paraId="08292AB0" w14:textId="77F72546" w:rsidR="00EE36C7" w:rsidRPr="000E56F4" w:rsidRDefault="00EE36C7" w:rsidP="00EE36C7">
      <w:pPr>
        <w:pStyle w:val="FootnoteText"/>
        <w:jc w:val="both"/>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Ibid [31]. </w:t>
      </w:r>
    </w:p>
  </w:footnote>
  <w:footnote w:id="27">
    <w:p w14:paraId="2E57550A" w14:textId="4554B308" w:rsidR="00EE36C7" w:rsidRPr="000E56F4" w:rsidRDefault="00EE36C7" w:rsidP="00EE36C7">
      <w:pPr>
        <w:pStyle w:val="FootnoteText"/>
        <w:jc w:val="both"/>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Ibid [32]. </w:t>
      </w:r>
    </w:p>
  </w:footnote>
  <w:footnote w:id="28">
    <w:p w14:paraId="676635D3" w14:textId="7286517C" w:rsidR="00EE36C7" w:rsidRPr="000E56F4" w:rsidRDefault="00EE36C7" w:rsidP="00EE36C7">
      <w:pPr>
        <w:pStyle w:val="FootnoteText"/>
        <w:jc w:val="both"/>
        <w:rPr>
          <w:rFonts w:ascii="Times New Roman" w:hAnsi="Times New Roman" w:cs="Times New Roman"/>
        </w:rPr>
      </w:pPr>
      <w:r w:rsidRPr="000E56F4">
        <w:rPr>
          <w:rStyle w:val="FootnoteReference"/>
          <w:rFonts w:ascii="Times New Roman" w:hAnsi="Times New Roman" w:cs="Times New Roman"/>
        </w:rPr>
        <w:footnoteRef/>
      </w:r>
      <w:r w:rsidRPr="000E56F4">
        <w:rPr>
          <w:rFonts w:ascii="Times New Roman" w:hAnsi="Times New Roman" w:cs="Times New Roman"/>
        </w:rPr>
        <w:t xml:space="preserve"> Bows and Herring (n 6)</w:t>
      </w:r>
      <w:r w:rsidR="008E464A">
        <w:rPr>
          <w:rFonts w:ascii="Times New Roman" w:hAnsi="Times New Roman" w:cs="Times New Roman"/>
        </w:rPr>
        <w:t>.</w:t>
      </w:r>
      <w:r w:rsidRPr="000E56F4">
        <w:rPr>
          <w:rFonts w:ascii="Times New Roman" w:hAnsi="Times New Roman" w:cs="Times New Roman"/>
        </w:rPr>
        <w:t xml:space="preserve"> </w:t>
      </w:r>
    </w:p>
  </w:footnote>
  <w:footnote w:id="29">
    <w:p w14:paraId="572BCDA5" w14:textId="77777777" w:rsidR="00EE36C7" w:rsidRDefault="00EE36C7" w:rsidP="00EE36C7">
      <w:pPr>
        <w:pStyle w:val="FootnoteText"/>
      </w:pPr>
      <w:r w:rsidRPr="000E56F4">
        <w:rPr>
          <w:rStyle w:val="FootnoteReference"/>
          <w:rFonts w:ascii="Times New Roman" w:hAnsi="Times New Roman" w:cs="Times New Roman"/>
        </w:rPr>
        <w:footnoteRef/>
      </w:r>
      <w:r w:rsidRPr="000E56F4">
        <w:rPr>
          <w:rFonts w:ascii="Times New Roman" w:hAnsi="Times New Roman" w:cs="Times New Roman"/>
        </w:rPr>
        <w:t xml:space="preserve"> In </w:t>
      </w:r>
      <w:r w:rsidRPr="000E56F4">
        <w:rPr>
          <w:rFonts w:ascii="Times New Roman" w:hAnsi="Times New Roman" w:cs="Times New Roman"/>
          <w:i/>
          <w:iCs/>
        </w:rPr>
        <w:t>Brown</w:t>
      </w:r>
      <w:r w:rsidRPr="000E56F4">
        <w:rPr>
          <w:rFonts w:ascii="Times New Roman" w:hAnsi="Times New Roman" w:cs="Times New Roman"/>
        </w:rPr>
        <w:t xml:space="preserve"> the defendants acknowledged intention to inflict the injuries whereas in </w:t>
      </w:r>
      <w:r w:rsidRPr="000E56F4">
        <w:rPr>
          <w:rFonts w:ascii="Times New Roman" w:hAnsi="Times New Roman" w:cs="Times New Roman"/>
          <w:i/>
          <w:iCs/>
        </w:rPr>
        <w:t>Slingsby</w:t>
      </w:r>
      <w:r w:rsidRPr="000E56F4">
        <w:rPr>
          <w:rFonts w:ascii="Times New Roman" w:hAnsi="Times New Roman" w:cs="Times New Roman"/>
        </w:rPr>
        <w:t xml:space="preserve"> the defendant claimed not to have intended the injury/that the injury was merely a risk, ancillary to the chief motivation of pleasure.</w:t>
      </w:r>
      <w:r>
        <w:rPr>
          <w:rFonts w:ascii="Times New Roman" w:hAnsi="Times New Roman" w:cs="Times New Roman"/>
        </w:rPr>
        <w:t xml:space="preserve"> </w:t>
      </w:r>
    </w:p>
  </w:footnote>
  <w:footnote w:id="30">
    <w:p w14:paraId="467D25A8" w14:textId="5B35203F" w:rsidR="00EE36C7" w:rsidRPr="00DB06B6" w:rsidRDefault="00EE36C7" w:rsidP="00EE36C7">
      <w:pPr>
        <w:pStyle w:val="FootnoteText"/>
        <w:jc w:val="both"/>
        <w:rPr>
          <w:rFonts w:ascii="Times New Roman" w:hAnsi="Times New Roman" w:cs="Times New Roman"/>
        </w:rPr>
      </w:pPr>
      <w:r w:rsidRPr="008E464A">
        <w:rPr>
          <w:rStyle w:val="FootnoteReference"/>
          <w:rFonts w:ascii="Times New Roman" w:hAnsi="Times New Roman" w:cs="Times New Roman"/>
        </w:rPr>
        <w:footnoteRef/>
      </w:r>
      <w:r w:rsidRPr="008E464A">
        <w:rPr>
          <w:rFonts w:ascii="Times New Roman" w:hAnsi="Times New Roman" w:cs="Times New Roman"/>
        </w:rPr>
        <w:t xml:space="preserve"> E Yardley, 'The </w:t>
      </w:r>
      <w:r w:rsidR="008E464A" w:rsidRPr="008E464A">
        <w:rPr>
          <w:rFonts w:ascii="Times New Roman" w:hAnsi="Times New Roman" w:cs="Times New Roman"/>
        </w:rPr>
        <w:t>K</w:t>
      </w:r>
      <w:r w:rsidRPr="008E464A">
        <w:rPr>
          <w:rFonts w:ascii="Times New Roman" w:hAnsi="Times New Roman" w:cs="Times New Roman"/>
        </w:rPr>
        <w:t xml:space="preserve">illing of </w:t>
      </w:r>
      <w:r w:rsidR="008E464A" w:rsidRPr="008E464A">
        <w:rPr>
          <w:rFonts w:ascii="Times New Roman" w:hAnsi="Times New Roman" w:cs="Times New Roman"/>
        </w:rPr>
        <w:t>W</w:t>
      </w:r>
      <w:r w:rsidRPr="008E464A">
        <w:rPr>
          <w:rFonts w:ascii="Times New Roman" w:hAnsi="Times New Roman" w:cs="Times New Roman"/>
        </w:rPr>
        <w:t xml:space="preserve">omen in </w:t>
      </w:r>
      <w:r w:rsidR="008E464A" w:rsidRPr="008E464A">
        <w:rPr>
          <w:rFonts w:ascii="Times New Roman" w:hAnsi="Times New Roman" w:cs="Times New Roman"/>
        </w:rPr>
        <w:t>“S</w:t>
      </w:r>
      <w:r w:rsidRPr="008E464A">
        <w:rPr>
          <w:rFonts w:ascii="Times New Roman" w:hAnsi="Times New Roman" w:cs="Times New Roman"/>
        </w:rPr>
        <w:t xml:space="preserve">ex </w:t>
      </w:r>
      <w:r w:rsidR="008E464A" w:rsidRPr="008E464A">
        <w:rPr>
          <w:rFonts w:ascii="Times New Roman" w:hAnsi="Times New Roman" w:cs="Times New Roman"/>
        </w:rPr>
        <w:t>G</w:t>
      </w:r>
      <w:r w:rsidRPr="008E464A">
        <w:rPr>
          <w:rFonts w:ascii="Times New Roman" w:hAnsi="Times New Roman" w:cs="Times New Roman"/>
        </w:rPr>
        <w:t xml:space="preserve">ames </w:t>
      </w:r>
      <w:r w:rsidR="008E464A" w:rsidRPr="008E464A">
        <w:rPr>
          <w:rFonts w:ascii="Times New Roman" w:hAnsi="Times New Roman" w:cs="Times New Roman"/>
        </w:rPr>
        <w:t>G</w:t>
      </w:r>
      <w:r w:rsidRPr="008E464A">
        <w:rPr>
          <w:rFonts w:ascii="Times New Roman" w:hAnsi="Times New Roman" w:cs="Times New Roman"/>
        </w:rPr>
        <w:t>one</w:t>
      </w:r>
      <w:r w:rsidR="008E464A" w:rsidRPr="008E464A">
        <w:rPr>
          <w:rFonts w:ascii="Times New Roman" w:hAnsi="Times New Roman" w:cs="Times New Roman"/>
        </w:rPr>
        <w:t xml:space="preserve"> W</w:t>
      </w:r>
      <w:r w:rsidRPr="008E464A">
        <w:rPr>
          <w:rFonts w:ascii="Times New Roman" w:hAnsi="Times New Roman" w:cs="Times New Roman"/>
        </w:rPr>
        <w:t xml:space="preserve">rong': An </w:t>
      </w:r>
      <w:r w:rsidR="008E464A" w:rsidRPr="008E464A">
        <w:rPr>
          <w:rFonts w:ascii="Times New Roman" w:hAnsi="Times New Roman" w:cs="Times New Roman"/>
        </w:rPr>
        <w:t>A</w:t>
      </w:r>
      <w:r w:rsidRPr="008E464A">
        <w:rPr>
          <w:rFonts w:ascii="Times New Roman" w:hAnsi="Times New Roman" w:cs="Times New Roman"/>
        </w:rPr>
        <w:t xml:space="preserve">nalysis of </w:t>
      </w:r>
      <w:r w:rsidR="008E464A" w:rsidRPr="008E464A">
        <w:rPr>
          <w:rFonts w:ascii="Times New Roman" w:hAnsi="Times New Roman" w:cs="Times New Roman"/>
        </w:rPr>
        <w:t>F</w:t>
      </w:r>
      <w:r w:rsidRPr="008E464A">
        <w:rPr>
          <w:rFonts w:ascii="Times New Roman" w:hAnsi="Times New Roman" w:cs="Times New Roman"/>
        </w:rPr>
        <w:t>emicides in Great Britain 2000-2018’</w:t>
      </w:r>
      <w:r w:rsidR="008E464A" w:rsidRPr="008E464A">
        <w:rPr>
          <w:rFonts w:ascii="Times New Roman" w:hAnsi="Times New Roman" w:cs="Times New Roman"/>
        </w:rPr>
        <w:t xml:space="preserve"> </w:t>
      </w:r>
      <w:r w:rsidRPr="008E464A">
        <w:rPr>
          <w:rFonts w:ascii="Times New Roman" w:hAnsi="Times New Roman" w:cs="Times New Roman"/>
        </w:rPr>
        <w:t>(2020)</w:t>
      </w:r>
      <w:r w:rsidR="008E464A" w:rsidRPr="008E464A">
        <w:rPr>
          <w:rFonts w:ascii="Times New Roman" w:hAnsi="Times New Roman" w:cs="Times New Roman"/>
        </w:rPr>
        <w:t xml:space="preserve"> </w:t>
      </w:r>
      <w:r w:rsidR="008E464A" w:rsidRPr="008E464A">
        <w:rPr>
          <w:rFonts w:ascii="Times New Roman" w:hAnsi="Times New Roman" w:cs="Times New Roman"/>
          <w:i/>
          <w:iCs/>
        </w:rPr>
        <w:t xml:space="preserve">Violence Against Women </w:t>
      </w:r>
      <w:r w:rsidR="008E464A" w:rsidRPr="008E464A">
        <w:rPr>
          <w:rFonts w:ascii="Times New Roman" w:hAnsi="Times New Roman" w:cs="Times New Roman"/>
        </w:rPr>
        <w:t xml:space="preserve">1-22. </w:t>
      </w:r>
    </w:p>
  </w:footnote>
  <w:footnote w:id="31">
    <w:p w14:paraId="4A1A7B64" w14:textId="6820B359" w:rsidR="00EE36C7" w:rsidRPr="00DB06B6" w:rsidRDefault="00EE36C7" w:rsidP="00EE36C7">
      <w:pPr>
        <w:pStyle w:val="FootnoteText"/>
        <w:jc w:val="both"/>
        <w:rPr>
          <w:rFonts w:ascii="Times New Roman" w:hAnsi="Times New Roman" w:cs="Times New Roman"/>
        </w:rPr>
      </w:pPr>
      <w:r w:rsidRPr="008E464A">
        <w:rPr>
          <w:rStyle w:val="FootnoteReference"/>
          <w:rFonts w:ascii="Times New Roman" w:hAnsi="Times New Roman" w:cs="Times New Roman"/>
        </w:rPr>
        <w:footnoteRef/>
      </w:r>
      <w:r w:rsidRPr="008E464A">
        <w:rPr>
          <w:rFonts w:ascii="Times New Roman" w:hAnsi="Times New Roman" w:cs="Times New Roman"/>
        </w:rPr>
        <w:t xml:space="preserve"> </w:t>
      </w:r>
      <w:r w:rsidR="006931F7" w:rsidRPr="008E464A">
        <w:rPr>
          <w:rFonts w:ascii="Times New Roman" w:hAnsi="Times New Roman" w:cs="Times New Roman"/>
        </w:rPr>
        <w:t>C</w:t>
      </w:r>
      <w:r w:rsidRPr="008E464A">
        <w:rPr>
          <w:rFonts w:ascii="Times New Roman" w:hAnsi="Times New Roman" w:cs="Times New Roman"/>
        </w:rPr>
        <w:t xml:space="preserve">. Elliot, and </w:t>
      </w:r>
      <w:r w:rsidR="006931F7" w:rsidRPr="008E464A">
        <w:rPr>
          <w:rFonts w:ascii="Times New Roman" w:hAnsi="Times New Roman" w:cs="Times New Roman"/>
        </w:rPr>
        <w:t>C</w:t>
      </w:r>
      <w:r w:rsidRPr="008E464A">
        <w:rPr>
          <w:rFonts w:ascii="Times New Roman" w:hAnsi="Times New Roman" w:cs="Times New Roman"/>
        </w:rPr>
        <w:t xml:space="preserve">. </w:t>
      </w:r>
      <w:r w:rsidR="008E464A" w:rsidRPr="008E464A">
        <w:rPr>
          <w:rFonts w:ascii="Times New Roman" w:hAnsi="Times New Roman" w:cs="Times New Roman"/>
        </w:rPr>
        <w:t>D</w:t>
      </w:r>
      <w:r w:rsidRPr="008E464A">
        <w:rPr>
          <w:rFonts w:ascii="Times New Roman" w:hAnsi="Times New Roman" w:cs="Times New Roman"/>
        </w:rPr>
        <w:t xml:space="preserve">e Than, ‘The </w:t>
      </w:r>
      <w:r w:rsidR="008E464A" w:rsidRPr="008E464A">
        <w:rPr>
          <w:rFonts w:ascii="Times New Roman" w:hAnsi="Times New Roman" w:cs="Times New Roman"/>
        </w:rPr>
        <w:t>C</w:t>
      </w:r>
      <w:r w:rsidRPr="008E464A">
        <w:rPr>
          <w:rFonts w:ascii="Times New Roman" w:hAnsi="Times New Roman" w:cs="Times New Roman"/>
        </w:rPr>
        <w:t xml:space="preserve">ase for a </w:t>
      </w:r>
      <w:r w:rsidR="008E464A" w:rsidRPr="008E464A">
        <w:rPr>
          <w:rFonts w:ascii="Times New Roman" w:hAnsi="Times New Roman" w:cs="Times New Roman"/>
        </w:rPr>
        <w:t>R</w:t>
      </w:r>
      <w:r w:rsidRPr="008E464A">
        <w:rPr>
          <w:rFonts w:ascii="Times New Roman" w:hAnsi="Times New Roman" w:cs="Times New Roman"/>
        </w:rPr>
        <w:t xml:space="preserve">ational </w:t>
      </w:r>
      <w:r w:rsidR="008E464A" w:rsidRPr="008E464A">
        <w:rPr>
          <w:rFonts w:ascii="Times New Roman" w:hAnsi="Times New Roman" w:cs="Times New Roman"/>
        </w:rPr>
        <w:t>R</w:t>
      </w:r>
      <w:r w:rsidRPr="008E464A">
        <w:rPr>
          <w:rFonts w:ascii="Times New Roman" w:hAnsi="Times New Roman" w:cs="Times New Roman"/>
        </w:rPr>
        <w:t xml:space="preserve">econstruction of </w:t>
      </w:r>
      <w:r w:rsidR="008E464A" w:rsidRPr="008E464A">
        <w:rPr>
          <w:rFonts w:ascii="Times New Roman" w:hAnsi="Times New Roman" w:cs="Times New Roman"/>
        </w:rPr>
        <w:t>C</w:t>
      </w:r>
      <w:r w:rsidRPr="008E464A">
        <w:rPr>
          <w:rFonts w:ascii="Times New Roman" w:hAnsi="Times New Roman" w:cs="Times New Roman"/>
        </w:rPr>
        <w:t>onsent in Criminal Law</w:t>
      </w:r>
      <w:r w:rsidR="008E464A" w:rsidRPr="008E464A">
        <w:rPr>
          <w:rFonts w:ascii="Times New Roman" w:hAnsi="Times New Roman" w:cs="Times New Roman"/>
        </w:rPr>
        <w:t xml:space="preserve">’ (2007) 70(2) </w:t>
      </w:r>
      <w:r w:rsidR="008E464A" w:rsidRPr="008E464A">
        <w:rPr>
          <w:rFonts w:ascii="Times New Roman" w:hAnsi="Times New Roman" w:cs="Times New Roman"/>
          <w:i/>
          <w:iCs/>
        </w:rPr>
        <w:t xml:space="preserve">Modern Law Review </w:t>
      </w:r>
      <w:r w:rsidR="008E464A" w:rsidRPr="008E464A">
        <w:rPr>
          <w:rFonts w:ascii="Times New Roman" w:hAnsi="Times New Roman" w:cs="Times New Roman"/>
        </w:rPr>
        <w:t>225, 225.</w:t>
      </w:r>
    </w:p>
  </w:footnote>
  <w:footnote w:id="32">
    <w:p w14:paraId="74FC919A" w14:textId="047B4CFF" w:rsidR="00EE36C7" w:rsidRPr="008E464A" w:rsidRDefault="00EE36C7" w:rsidP="00EE36C7">
      <w:pPr>
        <w:pStyle w:val="FootnoteText"/>
        <w:jc w:val="both"/>
        <w:rPr>
          <w:rFonts w:ascii="Times New Roman" w:hAnsi="Times New Roman" w:cs="Times New Roman"/>
          <w:color w:val="000000" w:themeColor="text1"/>
          <w:highlight w:val="green"/>
        </w:rPr>
      </w:pPr>
      <w:r w:rsidRPr="008E464A">
        <w:rPr>
          <w:rStyle w:val="FootnoteReference"/>
          <w:rFonts w:ascii="Times New Roman" w:hAnsi="Times New Roman" w:cs="Times New Roman"/>
          <w:color w:val="000000" w:themeColor="text1"/>
        </w:rPr>
        <w:footnoteRef/>
      </w:r>
      <w:r w:rsidRPr="008E464A">
        <w:rPr>
          <w:rFonts w:ascii="Times New Roman" w:hAnsi="Times New Roman" w:cs="Times New Roman"/>
          <w:color w:val="000000" w:themeColor="text1"/>
        </w:rPr>
        <w:t xml:space="preserve"> Bows and Herring (n 6)</w:t>
      </w:r>
      <w:r w:rsidR="008E464A">
        <w:rPr>
          <w:rFonts w:ascii="Times New Roman" w:hAnsi="Times New Roman" w:cs="Times New Roman"/>
          <w:color w:val="000000" w:themeColor="text1"/>
        </w:rPr>
        <w:t xml:space="preserve"> 529.</w:t>
      </w:r>
    </w:p>
  </w:footnote>
  <w:footnote w:id="33">
    <w:p w14:paraId="186ABED4" w14:textId="77777777" w:rsidR="00EE36C7" w:rsidRPr="008E464A" w:rsidRDefault="00EE36C7" w:rsidP="00EE36C7">
      <w:pPr>
        <w:pStyle w:val="FootnoteText"/>
        <w:jc w:val="both"/>
        <w:rPr>
          <w:rFonts w:ascii="Times New Roman" w:hAnsi="Times New Roman" w:cs="Times New Roman"/>
          <w:highlight w:val="green"/>
        </w:rPr>
      </w:pPr>
      <w:r w:rsidRPr="008E464A">
        <w:rPr>
          <w:rStyle w:val="FootnoteReference"/>
          <w:rFonts w:ascii="Times New Roman" w:hAnsi="Times New Roman" w:cs="Times New Roman"/>
        </w:rPr>
        <w:footnoteRef/>
      </w:r>
      <w:r w:rsidRPr="008E464A">
        <w:rPr>
          <w:rFonts w:ascii="Times New Roman" w:hAnsi="Times New Roman" w:cs="Times New Roman"/>
        </w:rPr>
        <w:t xml:space="preserve"> C Nowlin, ‘Should Deceased Persons Be Allowed to Raise Self-Defence? A Comment on R v </w:t>
      </w:r>
      <w:proofErr w:type="spellStart"/>
      <w:r w:rsidRPr="008E464A">
        <w:rPr>
          <w:rFonts w:ascii="Times New Roman" w:hAnsi="Times New Roman" w:cs="Times New Roman"/>
        </w:rPr>
        <w:t>Knibbs</w:t>
      </w:r>
      <w:proofErr w:type="spellEnd"/>
      <w:r w:rsidRPr="008E464A">
        <w:rPr>
          <w:rFonts w:ascii="Times New Roman" w:hAnsi="Times New Roman" w:cs="Times New Roman"/>
        </w:rPr>
        <w:t xml:space="preserve">’ (2011) 43(2) </w:t>
      </w:r>
      <w:r w:rsidRPr="008E464A">
        <w:rPr>
          <w:rFonts w:ascii="Times New Roman" w:hAnsi="Times New Roman" w:cs="Times New Roman"/>
          <w:i/>
          <w:iCs/>
        </w:rPr>
        <w:t xml:space="preserve">U.B.C. Law Review </w:t>
      </w:r>
      <w:r w:rsidRPr="008E464A">
        <w:rPr>
          <w:rFonts w:ascii="Times New Roman" w:hAnsi="Times New Roman" w:cs="Times New Roman"/>
        </w:rPr>
        <w:t>447-470.</w:t>
      </w:r>
    </w:p>
  </w:footnote>
  <w:footnote w:id="34">
    <w:p w14:paraId="5227847C" w14:textId="77777777" w:rsidR="00EE36C7" w:rsidRPr="008E464A" w:rsidRDefault="00EE36C7" w:rsidP="00EE36C7">
      <w:pPr>
        <w:pStyle w:val="FootnoteText"/>
        <w:jc w:val="both"/>
        <w:rPr>
          <w:rFonts w:ascii="Times New Roman" w:hAnsi="Times New Roman" w:cs="Times New Roman"/>
        </w:rPr>
      </w:pPr>
      <w:r w:rsidRPr="008E464A">
        <w:rPr>
          <w:rStyle w:val="FootnoteReference"/>
          <w:rFonts w:ascii="Times New Roman" w:hAnsi="Times New Roman" w:cs="Times New Roman"/>
        </w:rPr>
        <w:footnoteRef/>
      </w:r>
      <w:r w:rsidRPr="008E464A">
        <w:rPr>
          <w:rFonts w:ascii="Times New Roman" w:hAnsi="Times New Roman" w:cs="Times New Roman"/>
        </w:rPr>
        <w:t xml:space="preserve"> M </w:t>
      </w:r>
      <w:proofErr w:type="spellStart"/>
      <w:r w:rsidRPr="008E464A">
        <w:rPr>
          <w:rFonts w:ascii="Times New Roman" w:hAnsi="Times New Roman" w:cs="Times New Roman"/>
        </w:rPr>
        <w:t>Iiiadis</w:t>
      </w:r>
      <w:proofErr w:type="spellEnd"/>
      <w:r w:rsidRPr="008E464A">
        <w:rPr>
          <w:rFonts w:ascii="Times New Roman" w:hAnsi="Times New Roman" w:cs="Times New Roman"/>
        </w:rPr>
        <w:t xml:space="preserve">, ‘Victim Representation for Sexual History Evidence in Ireland: A Steep Towards or Away from Meeting Victims’ Procedural Justice Needs?’ (2019) 20(4) </w:t>
      </w:r>
      <w:r w:rsidRPr="008E464A">
        <w:rPr>
          <w:rFonts w:ascii="Times New Roman" w:hAnsi="Times New Roman" w:cs="Times New Roman"/>
          <w:i/>
          <w:iCs/>
        </w:rPr>
        <w:t xml:space="preserve">Criminology and Criminal Justice </w:t>
      </w:r>
      <w:r w:rsidRPr="008E464A">
        <w:rPr>
          <w:rFonts w:ascii="Times New Roman" w:hAnsi="Times New Roman" w:cs="Times New Roman"/>
        </w:rPr>
        <w:t>416-432.</w:t>
      </w:r>
    </w:p>
  </w:footnote>
  <w:footnote w:id="35">
    <w:p w14:paraId="51126F19" w14:textId="77777777" w:rsidR="00EE36C7" w:rsidRPr="00DB06B6" w:rsidRDefault="00EE36C7" w:rsidP="00EE36C7">
      <w:pPr>
        <w:pStyle w:val="FootnoteText"/>
        <w:jc w:val="both"/>
        <w:rPr>
          <w:rFonts w:ascii="Times New Roman" w:hAnsi="Times New Roman" w:cs="Times New Roman"/>
        </w:rPr>
      </w:pPr>
      <w:r w:rsidRPr="008E464A">
        <w:rPr>
          <w:rStyle w:val="FootnoteReference"/>
          <w:rFonts w:ascii="Times New Roman" w:hAnsi="Times New Roman" w:cs="Times New Roman"/>
        </w:rPr>
        <w:footnoteRef/>
      </w:r>
      <w:r w:rsidRPr="008E464A">
        <w:rPr>
          <w:rFonts w:ascii="Times New Roman" w:hAnsi="Times New Roman" w:cs="Times New Roman"/>
        </w:rPr>
        <w:t xml:space="preserve"> C Spohn and J Honey, ‘Rape Law Reform and the Effect of Victim Characteristics on Case Processing’ (1993) 9 </w:t>
      </w:r>
      <w:r w:rsidRPr="008E464A">
        <w:rPr>
          <w:rFonts w:ascii="Times New Roman" w:hAnsi="Times New Roman" w:cs="Times New Roman"/>
          <w:i/>
          <w:iCs/>
        </w:rPr>
        <w:t xml:space="preserve">Journal of Quantitative Criminology </w:t>
      </w:r>
      <w:r w:rsidRPr="008E464A">
        <w:rPr>
          <w:rFonts w:ascii="Times New Roman" w:hAnsi="Times New Roman" w:cs="Times New Roman"/>
        </w:rPr>
        <w:t>383-409.</w:t>
      </w:r>
    </w:p>
  </w:footnote>
  <w:footnote w:id="36">
    <w:p w14:paraId="4B3CFB0E" w14:textId="016C9222" w:rsidR="00EE36C7" w:rsidRPr="008E464A" w:rsidRDefault="00EE36C7" w:rsidP="00EE36C7">
      <w:pPr>
        <w:pStyle w:val="FootnoteText"/>
        <w:jc w:val="both"/>
        <w:rPr>
          <w:rFonts w:ascii="Times New Roman" w:hAnsi="Times New Roman" w:cs="Times New Roman"/>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Harriet Harman MP and Mark Garnier MP</w:t>
      </w:r>
      <w:r w:rsidR="00CB6F21" w:rsidRPr="00CB6F21">
        <w:rPr>
          <w:rFonts w:ascii="Times New Roman" w:hAnsi="Times New Roman" w:cs="Times New Roman"/>
        </w:rPr>
        <w:t>.</w:t>
      </w:r>
    </w:p>
  </w:footnote>
  <w:footnote w:id="37">
    <w:p w14:paraId="7D783447" w14:textId="77AE53EF" w:rsidR="00EE36C7" w:rsidRPr="008E464A" w:rsidRDefault="00EE36C7" w:rsidP="00EE36C7">
      <w:pPr>
        <w:pStyle w:val="FootnoteText"/>
        <w:jc w:val="both"/>
        <w:rPr>
          <w:rFonts w:ascii="Times New Roman" w:hAnsi="Times New Roman" w:cs="Times New Roman"/>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lang w:val="en-US"/>
        </w:rPr>
        <w:t>We Can’t Consent to This (n 20)</w:t>
      </w:r>
      <w:r w:rsidR="00CB6F21" w:rsidRPr="00CB6F21">
        <w:rPr>
          <w:rFonts w:ascii="Times New Roman" w:hAnsi="Times New Roman" w:cs="Times New Roman"/>
          <w:lang w:val="en-US"/>
        </w:rPr>
        <w:t>.</w:t>
      </w:r>
    </w:p>
  </w:footnote>
  <w:footnote w:id="38">
    <w:p w14:paraId="077A9317" w14:textId="3C7A4193" w:rsidR="00EE36C7" w:rsidRPr="008E464A" w:rsidRDefault="00EE36C7" w:rsidP="00CB6F21">
      <w:pPr>
        <w:pStyle w:val="FootnoteText"/>
        <w:jc w:val="both"/>
        <w:rPr>
          <w:rFonts w:ascii="Times New Roman" w:hAnsi="Times New Roman" w:cs="Times New Roman"/>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Women’s Aid Federation England, ‘</w:t>
      </w:r>
      <w:r w:rsidRPr="00CB6F21">
        <w:rPr>
          <w:rFonts w:ascii="Times New Roman" w:hAnsi="Times New Roman" w:cs="Times New Roman"/>
          <w:lang w:val="en-US"/>
        </w:rPr>
        <w:t>Joint Evidence on the Domestic Abuse Bill’ &lt;</w:t>
      </w:r>
      <w:r w:rsidR="00CB6F21" w:rsidRPr="00CB6F21">
        <w:t xml:space="preserve"> </w:t>
      </w:r>
      <w:hyperlink w:history="1">
        <w:r w:rsidR="00CB6F21" w:rsidRPr="00CB6F21">
          <w:rPr>
            <w:rStyle w:val="Hyperlink"/>
            <w:rFonts w:ascii="Times New Roman" w:hAnsi="Times New Roman" w:cs="Times New Roman"/>
            <w:lang w:val="en-US"/>
          </w:rPr>
          <w:t>https://www.womensaid.org. uk/wp-content/uploads/2020/07/Joint-Recommendations-on-the-Domestic-Abuse-Bill-.pdf</w:t>
        </w:r>
      </w:hyperlink>
      <w:r w:rsidR="00CB6F21" w:rsidRPr="00CB6F21">
        <w:rPr>
          <w:rFonts w:ascii="Times New Roman" w:hAnsi="Times New Roman" w:cs="Times New Roman"/>
          <w:lang w:val="en-US"/>
        </w:rPr>
        <w:t xml:space="preserve">&gt; </w:t>
      </w:r>
      <w:r w:rsidR="001C4A14" w:rsidRPr="00CB6F21">
        <w:rPr>
          <w:rFonts w:ascii="Times New Roman" w:hAnsi="Times New Roman" w:cs="Times New Roman"/>
          <w:lang w:val="en-US"/>
        </w:rPr>
        <w:t>Accessed on 6 December</w:t>
      </w:r>
      <w:r w:rsidRPr="00CB6F21">
        <w:rPr>
          <w:rFonts w:ascii="Times New Roman" w:hAnsi="Times New Roman" w:cs="Times New Roman"/>
          <w:lang w:val="en-US"/>
        </w:rPr>
        <w:t xml:space="preserve"> 2020.</w:t>
      </w:r>
    </w:p>
  </w:footnote>
  <w:footnote w:id="39">
    <w:p w14:paraId="0469803F" w14:textId="7AE5FA1C" w:rsidR="00EE36C7" w:rsidRPr="008E464A" w:rsidRDefault="00EE36C7" w:rsidP="00EE36C7">
      <w:pPr>
        <w:pStyle w:val="FootnoteText"/>
        <w:jc w:val="both"/>
        <w:rPr>
          <w:rFonts w:ascii="Times New Roman" w:hAnsi="Times New Roman" w:cs="Times New Roman"/>
          <w:highlight w:val="green"/>
          <w:lang w:val="en-US"/>
        </w:rPr>
      </w:pPr>
      <w:r w:rsidRPr="008E464A">
        <w:rPr>
          <w:rStyle w:val="FootnoteReference"/>
          <w:rFonts w:ascii="Times New Roman" w:hAnsi="Times New Roman" w:cs="Times New Roman"/>
        </w:rPr>
        <w:footnoteRef/>
      </w:r>
      <w:r w:rsidRPr="008E464A">
        <w:rPr>
          <w:rFonts w:ascii="Times New Roman" w:hAnsi="Times New Roman" w:cs="Times New Roman"/>
        </w:rPr>
        <w:t xml:space="preserve"> </w:t>
      </w:r>
      <w:r w:rsidRPr="008E464A">
        <w:rPr>
          <w:rFonts w:ascii="Times New Roman" w:hAnsi="Times New Roman" w:cs="Times New Roman"/>
          <w:lang w:val="en-US"/>
        </w:rPr>
        <w:t xml:space="preserve">Bows and Herring (n 6) </w:t>
      </w:r>
      <w:r w:rsidR="008E464A" w:rsidRPr="008E464A">
        <w:rPr>
          <w:rFonts w:ascii="Times New Roman" w:hAnsi="Times New Roman" w:cs="Times New Roman"/>
          <w:lang w:val="en-US"/>
        </w:rPr>
        <w:t>535.</w:t>
      </w:r>
    </w:p>
  </w:footnote>
  <w:footnote w:id="40">
    <w:p w14:paraId="5E69AEC7" w14:textId="4652B445" w:rsidR="00EE36C7" w:rsidRPr="00CB6F21" w:rsidRDefault="00EE36C7" w:rsidP="00EE36C7">
      <w:pPr>
        <w:pStyle w:val="FootnoteText"/>
        <w:jc w:val="both"/>
        <w:rPr>
          <w:rFonts w:ascii="Times New Roman" w:hAnsi="Times New Roman" w:cs="Times New Roma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lang w:val="en-US"/>
        </w:rPr>
        <w:t>Domestic Abuse Bill Clause 65, s</w:t>
      </w:r>
      <w:r w:rsidR="00CB6F21" w:rsidRPr="00CB6F21">
        <w:rPr>
          <w:rFonts w:ascii="Times New Roman" w:hAnsi="Times New Roman" w:cs="Times New Roman"/>
          <w:lang w:val="en-US"/>
        </w:rPr>
        <w:t xml:space="preserve">. </w:t>
      </w:r>
      <w:r w:rsidRPr="00CB6F21">
        <w:rPr>
          <w:rFonts w:ascii="Times New Roman" w:hAnsi="Times New Roman" w:cs="Times New Roman"/>
          <w:lang w:val="en-US"/>
        </w:rPr>
        <w:t>2.</w:t>
      </w:r>
    </w:p>
  </w:footnote>
  <w:footnote w:id="41">
    <w:p w14:paraId="1762E37C" w14:textId="4F529AF8" w:rsidR="00EE36C7" w:rsidRPr="00CB6F21" w:rsidRDefault="00EE36C7" w:rsidP="00EE36C7">
      <w:pPr>
        <w:pStyle w:val="FootnoteText"/>
        <w:jc w:val="both"/>
        <w:rPr>
          <w:rFonts w:ascii="Times New Roman" w:hAnsi="Times New Roman" w:cs="Times New Roma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lang w:val="en-US"/>
        </w:rPr>
        <w:t>Ibi</w:t>
      </w:r>
      <w:r w:rsidR="00385CDF" w:rsidRPr="00CB6F21">
        <w:rPr>
          <w:rFonts w:ascii="Times New Roman" w:hAnsi="Times New Roman" w:cs="Times New Roman"/>
          <w:lang w:val="en-US"/>
        </w:rPr>
        <w:t>d</w:t>
      </w:r>
      <w:r w:rsidRPr="00CB6F21">
        <w:rPr>
          <w:rFonts w:ascii="Times New Roman" w:hAnsi="Times New Roman" w:cs="Times New Roman"/>
          <w:lang w:val="en-US"/>
        </w:rPr>
        <w:t xml:space="preserve"> s. 4.</w:t>
      </w:r>
    </w:p>
  </w:footnote>
  <w:footnote w:id="42">
    <w:p w14:paraId="47BDC1B2" w14:textId="6DDA95F4" w:rsidR="00EE36C7" w:rsidRPr="008E464A" w:rsidRDefault="00EE36C7" w:rsidP="00EE36C7">
      <w:pPr>
        <w:pStyle w:val="FootnoteText"/>
        <w:jc w:val="both"/>
        <w:rPr>
          <w:rFonts w:ascii="Times New Roman" w:hAnsi="Times New Roman" w:cs="Times New Roman"/>
          <w:i/>
          <w:iCs/>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i/>
          <w:iCs/>
          <w:lang w:val="en-US"/>
        </w:rPr>
        <w:t>Wilson</w:t>
      </w:r>
      <w:r w:rsidRPr="00CB6F21">
        <w:rPr>
          <w:rFonts w:ascii="Times New Roman" w:hAnsi="Times New Roman" w:cs="Times New Roman"/>
        </w:rPr>
        <w:t xml:space="preserve"> </w:t>
      </w:r>
      <w:r w:rsidRPr="00CB6F21">
        <w:rPr>
          <w:rFonts w:ascii="Times New Roman" w:hAnsi="Times New Roman" w:cs="Times New Roman"/>
          <w:lang w:val="en-US"/>
        </w:rPr>
        <w:t>(n 8)</w:t>
      </w:r>
      <w:r w:rsidR="00CB6F21" w:rsidRPr="00CB6F21">
        <w:rPr>
          <w:rFonts w:ascii="Times New Roman" w:hAnsi="Times New Roman" w:cs="Times New Roman"/>
          <w:lang w:val="en-US"/>
        </w:rPr>
        <w:t>.</w:t>
      </w:r>
    </w:p>
  </w:footnote>
  <w:footnote w:id="43">
    <w:p w14:paraId="55BCA59A" w14:textId="61DC3F62" w:rsidR="00EE36C7" w:rsidRPr="008E464A"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lang w:val="en-US"/>
        </w:rPr>
        <w:t xml:space="preserve">Bows and Herring (n 6) </w:t>
      </w:r>
      <w:r w:rsidR="00F2782C" w:rsidRPr="00F2782C">
        <w:rPr>
          <w:rFonts w:ascii="Times New Roman" w:hAnsi="Times New Roman" w:cs="Times New Roman"/>
          <w:lang w:val="en-US"/>
        </w:rPr>
        <w:t>535</w:t>
      </w:r>
      <w:r w:rsidRPr="00F2782C">
        <w:rPr>
          <w:rFonts w:ascii="Times New Roman" w:hAnsi="Times New Roman" w:cs="Times New Roman"/>
          <w:lang w:val="en-US"/>
        </w:rPr>
        <w:t>.</w:t>
      </w:r>
    </w:p>
  </w:footnote>
  <w:footnote w:id="44">
    <w:p w14:paraId="4129D9EA" w14:textId="1F548980" w:rsidR="00EE36C7" w:rsidRPr="008E464A" w:rsidRDefault="00EE36C7" w:rsidP="00EE36C7">
      <w:pPr>
        <w:pStyle w:val="FootnoteText"/>
        <w:jc w:val="both"/>
        <w:rPr>
          <w:rFonts w:ascii="Times New Roman" w:hAnsi="Times New Roman" w:cs="Times New Roman"/>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i/>
          <w:iCs/>
        </w:rPr>
        <w:t xml:space="preserve">Brown </w:t>
      </w:r>
      <w:r w:rsidRPr="00CB6F21">
        <w:rPr>
          <w:rFonts w:ascii="Times New Roman" w:hAnsi="Times New Roman" w:cs="Times New Roman"/>
          <w:lang w:val="en-US"/>
        </w:rPr>
        <w:t>(n 2)</w:t>
      </w:r>
      <w:r w:rsidR="00CB6F21" w:rsidRPr="00CB6F21">
        <w:rPr>
          <w:rFonts w:ascii="Times New Roman" w:hAnsi="Times New Roman" w:cs="Times New Roman"/>
          <w:lang w:val="en-US"/>
        </w:rPr>
        <w:t>.</w:t>
      </w:r>
    </w:p>
  </w:footnote>
  <w:footnote w:id="45">
    <w:p w14:paraId="7D99BF18" w14:textId="75B79824" w:rsidR="00EE36C7" w:rsidRPr="008E464A" w:rsidRDefault="00EE36C7" w:rsidP="00EE36C7">
      <w:pPr>
        <w:pStyle w:val="FootnoteText"/>
        <w:jc w:val="both"/>
        <w:rPr>
          <w:rFonts w:ascii="Times New Roman" w:hAnsi="Times New Roman" w:cs="Times New Roman"/>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i/>
          <w:iCs/>
          <w:lang w:val="en-US"/>
        </w:rPr>
        <w:t>Wilson</w:t>
      </w:r>
      <w:r w:rsidRPr="00CB6F21">
        <w:rPr>
          <w:rFonts w:ascii="Times New Roman" w:hAnsi="Times New Roman" w:cs="Times New Roman"/>
        </w:rPr>
        <w:t xml:space="preserve"> </w:t>
      </w:r>
      <w:r w:rsidRPr="00CB6F21">
        <w:rPr>
          <w:rFonts w:ascii="Times New Roman" w:hAnsi="Times New Roman" w:cs="Times New Roman"/>
          <w:lang w:val="en-US"/>
        </w:rPr>
        <w:t>(n</w:t>
      </w:r>
      <w:r w:rsidR="00E74093" w:rsidRPr="00CB6F21">
        <w:rPr>
          <w:rFonts w:ascii="Times New Roman" w:hAnsi="Times New Roman" w:cs="Times New Roman"/>
          <w:lang w:val="en-US"/>
        </w:rPr>
        <w:t xml:space="preserve"> </w:t>
      </w:r>
      <w:r w:rsidRPr="00CB6F21">
        <w:rPr>
          <w:rFonts w:ascii="Times New Roman" w:hAnsi="Times New Roman" w:cs="Times New Roman"/>
          <w:lang w:val="en-US"/>
        </w:rPr>
        <w:t>8)</w:t>
      </w:r>
      <w:r w:rsidR="00CB6F21" w:rsidRPr="00CB6F21">
        <w:rPr>
          <w:rFonts w:ascii="Times New Roman" w:hAnsi="Times New Roman" w:cs="Times New Roman"/>
          <w:lang w:val="en-US"/>
        </w:rPr>
        <w:t>.</w:t>
      </w:r>
    </w:p>
  </w:footnote>
  <w:footnote w:id="46">
    <w:p w14:paraId="0E44FACD" w14:textId="2C023B06" w:rsidR="00EE36C7" w:rsidRPr="008E464A"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lang w:val="en-US"/>
        </w:rPr>
        <w:t xml:space="preserve"> Bows and Herring, (n 6) </w:t>
      </w:r>
      <w:r w:rsidR="00F2782C" w:rsidRPr="00F2782C">
        <w:rPr>
          <w:rFonts w:ascii="Times New Roman" w:hAnsi="Times New Roman" w:cs="Times New Roman"/>
          <w:lang w:val="en-US"/>
        </w:rPr>
        <w:t>535</w:t>
      </w:r>
      <w:r w:rsidRPr="00F2782C">
        <w:rPr>
          <w:rFonts w:ascii="Times New Roman" w:hAnsi="Times New Roman" w:cs="Times New Roman"/>
          <w:lang w:val="en-US"/>
        </w:rPr>
        <w:t xml:space="preserve">. </w:t>
      </w:r>
    </w:p>
  </w:footnote>
  <w:footnote w:id="47">
    <w:p w14:paraId="0756405A" w14:textId="77777777" w:rsidR="00EE36C7" w:rsidRPr="008E464A" w:rsidRDefault="00EE36C7" w:rsidP="00EE36C7">
      <w:pPr>
        <w:pStyle w:val="FootnoteText"/>
        <w:jc w:val="both"/>
        <w:rPr>
          <w:rFonts w:ascii="Times New Roman" w:hAnsi="Times New Roman" w:cs="Times New Roman"/>
          <w:i/>
          <w:iCs/>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i/>
          <w:iCs/>
        </w:rPr>
        <w:t xml:space="preserve">Emmett </w:t>
      </w:r>
      <w:r w:rsidRPr="00F2782C">
        <w:rPr>
          <w:rFonts w:ascii="Times New Roman" w:hAnsi="Times New Roman" w:cs="Times New Roman"/>
          <w:lang w:val="en-US"/>
        </w:rPr>
        <w:t>(n 10).</w:t>
      </w:r>
    </w:p>
  </w:footnote>
  <w:footnote w:id="48">
    <w:p w14:paraId="12EF60D0" w14:textId="092BC70C" w:rsidR="00EE36C7" w:rsidRPr="008E464A" w:rsidRDefault="00EE36C7" w:rsidP="00EE36C7">
      <w:pPr>
        <w:pStyle w:val="FootnoteText"/>
        <w:jc w:val="both"/>
        <w:rPr>
          <w:rFonts w:ascii="Times New Roman" w:hAnsi="Times New Roman" w:cs="Times New Roman"/>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i/>
          <w:iCs/>
        </w:rPr>
        <w:t xml:space="preserve">Brown </w:t>
      </w:r>
      <w:r w:rsidRPr="00CB6F21">
        <w:rPr>
          <w:rFonts w:ascii="Times New Roman" w:hAnsi="Times New Roman" w:cs="Times New Roman"/>
          <w:lang w:val="en-US"/>
        </w:rPr>
        <w:t>(n 2)</w:t>
      </w:r>
      <w:r w:rsidR="00CB6F21" w:rsidRPr="00CB6F21">
        <w:rPr>
          <w:rFonts w:ascii="Times New Roman" w:hAnsi="Times New Roman" w:cs="Times New Roman"/>
          <w:lang w:val="en-US"/>
        </w:rPr>
        <w:t>.</w:t>
      </w:r>
    </w:p>
  </w:footnote>
  <w:footnote w:id="49">
    <w:p w14:paraId="0461D42C" w14:textId="77777777" w:rsidR="00EE36C7" w:rsidRPr="008E464A" w:rsidRDefault="00EE36C7" w:rsidP="00EE36C7">
      <w:pPr>
        <w:pStyle w:val="FootnoteText"/>
        <w:jc w:val="both"/>
        <w:rPr>
          <w:rFonts w:ascii="Times New Roman" w:hAnsi="Times New Roman" w:cs="Times New Roman"/>
          <w:i/>
          <w:iCs/>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lang w:val="en-US"/>
        </w:rPr>
        <w:t>Ibid</w:t>
      </w:r>
      <w:r w:rsidRPr="00F2782C">
        <w:rPr>
          <w:rFonts w:ascii="Times New Roman" w:hAnsi="Times New Roman" w:cs="Times New Roman"/>
          <w:i/>
          <w:iCs/>
          <w:lang w:val="en-US"/>
        </w:rPr>
        <w:t xml:space="preserve"> </w:t>
      </w:r>
      <w:r w:rsidRPr="00F2782C">
        <w:rPr>
          <w:rFonts w:ascii="Times New Roman" w:hAnsi="Times New Roman" w:cs="Times New Roman"/>
          <w:lang w:val="en-US"/>
        </w:rPr>
        <w:t>[4].</w:t>
      </w:r>
    </w:p>
  </w:footnote>
  <w:footnote w:id="50">
    <w:p w14:paraId="38154FD6" w14:textId="307EE207" w:rsidR="00EE36C7" w:rsidRPr="008E464A"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BM (n 16)</w:t>
      </w:r>
      <w:r w:rsidR="00F2782C" w:rsidRPr="00F2782C">
        <w:rPr>
          <w:rFonts w:ascii="Times New Roman" w:hAnsi="Times New Roman" w:cs="Times New Roman"/>
        </w:rPr>
        <w:t>.</w:t>
      </w:r>
      <w:r w:rsidRPr="00F2782C">
        <w:rPr>
          <w:rFonts w:ascii="Times New Roman" w:hAnsi="Times New Roman" w:cs="Times New Roman"/>
        </w:rPr>
        <w:t xml:space="preserve"> </w:t>
      </w:r>
    </w:p>
  </w:footnote>
  <w:footnote w:id="51">
    <w:p w14:paraId="24A492E5" w14:textId="497296A2" w:rsidR="00EE36C7" w:rsidRPr="008E464A"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lang w:val="en-US"/>
        </w:rPr>
        <w:t>Ibid [33].</w:t>
      </w:r>
    </w:p>
  </w:footnote>
  <w:footnote w:id="52">
    <w:p w14:paraId="58A41FF9" w14:textId="059EEB27" w:rsidR="00EE36C7" w:rsidRPr="008E464A"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C Barlow et al, ‘Putting coercive control into practice: problems and possibilities’ (2020) 60</w:t>
      </w:r>
      <w:r w:rsidR="00F2782C" w:rsidRPr="00F2782C">
        <w:rPr>
          <w:rFonts w:ascii="Times New Roman" w:hAnsi="Times New Roman" w:cs="Times New Roman"/>
        </w:rPr>
        <w:t>(1)</w:t>
      </w:r>
      <w:r w:rsidRPr="00F2782C">
        <w:rPr>
          <w:rFonts w:ascii="Times New Roman" w:hAnsi="Times New Roman" w:cs="Times New Roman"/>
        </w:rPr>
        <w:t xml:space="preserve"> </w:t>
      </w:r>
      <w:r w:rsidRPr="00F2782C">
        <w:rPr>
          <w:rFonts w:ascii="Times New Roman" w:hAnsi="Times New Roman" w:cs="Times New Roman"/>
          <w:i/>
          <w:iCs/>
        </w:rPr>
        <w:t xml:space="preserve">British Journal of Criminology </w:t>
      </w:r>
      <w:r w:rsidRPr="00F2782C">
        <w:rPr>
          <w:rFonts w:ascii="Times New Roman" w:hAnsi="Times New Roman" w:cs="Times New Roman"/>
        </w:rPr>
        <w:t>160.</w:t>
      </w:r>
    </w:p>
  </w:footnote>
  <w:footnote w:id="53">
    <w:p w14:paraId="2B6B89EC" w14:textId="77777777" w:rsidR="00EE36C7" w:rsidRPr="008E464A" w:rsidRDefault="00EE36C7" w:rsidP="00EE36C7">
      <w:pPr>
        <w:pStyle w:val="FootnoteText"/>
        <w:jc w:val="both"/>
        <w:rPr>
          <w:rFonts w:ascii="Times New Roman" w:hAnsi="Times New Roman" w:cs="Times New Roman"/>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lang w:val="en-US"/>
        </w:rPr>
        <w:t xml:space="preserve">We Can’t Consent </w:t>
      </w:r>
      <w:proofErr w:type="gramStart"/>
      <w:r w:rsidRPr="00CB6F21">
        <w:rPr>
          <w:rFonts w:ascii="Times New Roman" w:hAnsi="Times New Roman" w:cs="Times New Roman"/>
          <w:lang w:val="en-US"/>
        </w:rPr>
        <w:t>To</w:t>
      </w:r>
      <w:proofErr w:type="gramEnd"/>
      <w:r w:rsidRPr="00CB6F21">
        <w:rPr>
          <w:rFonts w:ascii="Times New Roman" w:hAnsi="Times New Roman" w:cs="Times New Roman"/>
          <w:lang w:val="en-US"/>
        </w:rPr>
        <w:t xml:space="preserve"> This (n 20).</w:t>
      </w:r>
    </w:p>
  </w:footnote>
  <w:footnote w:id="54">
    <w:p w14:paraId="5796DCE1" w14:textId="5947E847" w:rsidR="00EE36C7" w:rsidRPr="00F2782C" w:rsidRDefault="00EE36C7" w:rsidP="00EE36C7">
      <w:pPr>
        <w:pStyle w:val="FootnoteText"/>
        <w:jc w:val="both"/>
        <w:rPr>
          <w:rFonts w:ascii="Times New Roman" w:hAnsi="Times New Roman" w:cs="Times New Roman"/>
        </w:rPr>
      </w:pPr>
      <w:r w:rsidRPr="00F2782C">
        <w:rPr>
          <w:rStyle w:val="FootnoteReference"/>
          <w:rFonts w:ascii="Times New Roman" w:hAnsi="Times New Roman" w:cs="Times New Roman"/>
        </w:rPr>
        <w:footnoteRef/>
      </w:r>
      <w:r w:rsidRPr="00F2782C">
        <w:rPr>
          <w:rFonts w:ascii="Times New Roman" w:hAnsi="Times New Roman" w:cs="Times New Roman"/>
        </w:rPr>
        <w:t xml:space="preserve"> J Rogers, ‘“Abolition” of the “Rough Sex” Defence: Hurried Legislation and Missed Opportunities’ (2020)  &lt;</w:t>
      </w:r>
      <w:hyperlink r:id="rId6" w:history="1">
        <w:r w:rsidR="00F2782C" w:rsidRPr="00F2782C">
          <w:rPr>
            <w:rStyle w:val="Hyperlink"/>
            <w:rFonts w:ascii="Times New Roman" w:hAnsi="Times New Roman" w:cs="Times New Roman"/>
          </w:rPr>
          <w:t>http://www.clrnn.co.uk/blog/law-reform-general/</w:t>
        </w:r>
      </w:hyperlink>
      <w:r w:rsidR="00F2782C" w:rsidRPr="00F2782C">
        <w:rPr>
          <w:rFonts w:ascii="Times New Roman" w:hAnsi="Times New Roman" w:cs="Times New Roman"/>
        </w:rPr>
        <w:t>&gt;</w:t>
      </w:r>
      <w:r w:rsidRPr="00F2782C">
        <w:rPr>
          <w:rFonts w:ascii="Times New Roman" w:hAnsi="Times New Roman" w:cs="Times New Roman"/>
        </w:rPr>
        <w:t xml:space="preserve"> </w:t>
      </w:r>
      <w:r w:rsidR="00E74093" w:rsidRPr="00F2782C">
        <w:rPr>
          <w:rFonts w:ascii="Times New Roman" w:hAnsi="Times New Roman" w:cs="Times New Roman"/>
        </w:rPr>
        <w:t>A</w:t>
      </w:r>
      <w:r w:rsidRPr="00F2782C">
        <w:rPr>
          <w:rFonts w:ascii="Times New Roman" w:hAnsi="Times New Roman" w:cs="Times New Roman"/>
        </w:rPr>
        <w:t>ccessed on 6 December 2020.</w:t>
      </w:r>
    </w:p>
  </w:footnote>
  <w:footnote w:id="55">
    <w:p w14:paraId="51A47BC7" w14:textId="77777777" w:rsidR="00EE36C7" w:rsidRPr="00F2782C"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lang w:val="en-US"/>
        </w:rPr>
        <w:t>Ibid.</w:t>
      </w:r>
    </w:p>
  </w:footnote>
  <w:footnote w:id="56">
    <w:p w14:paraId="2E2D6B8B" w14:textId="06952A3E" w:rsidR="00EE36C7" w:rsidRPr="00F2782C"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lang w:val="en-US"/>
        </w:rPr>
        <w:t xml:space="preserve">Bows and Herring (n 6) </w:t>
      </w:r>
      <w:r w:rsidR="00F2782C" w:rsidRPr="00F2782C">
        <w:rPr>
          <w:rFonts w:ascii="Times New Roman" w:hAnsi="Times New Roman" w:cs="Times New Roman"/>
          <w:lang w:val="en-US"/>
        </w:rPr>
        <w:t>528</w:t>
      </w:r>
      <w:r w:rsidRPr="00F2782C">
        <w:rPr>
          <w:rFonts w:ascii="Times New Roman" w:hAnsi="Times New Roman" w:cs="Times New Roman"/>
          <w:lang w:val="en-US"/>
        </w:rPr>
        <w:t>.</w:t>
      </w:r>
    </w:p>
  </w:footnote>
  <w:footnote w:id="57">
    <w:p w14:paraId="1F837CB4" w14:textId="17A0425F" w:rsidR="00EE36C7" w:rsidRPr="00F2782C"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i/>
          <w:iCs/>
        </w:rPr>
        <w:t xml:space="preserve">Brown </w:t>
      </w:r>
      <w:r w:rsidRPr="00F2782C">
        <w:rPr>
          <w:rFonts w:ascii="Times New Roman" w:hAnsi="Times New Roman" w:cs="Times New Roman"/>
          <w:lang w:val="en-US"/>
        </w:rPr>
        <w:t>(n 2)</w:t>
      </w:r>
      <w:r w:rsidR="00CB6F21" w:rsidRPr="00F2782C">
        <w:rPr>
          <w:rFonts w:ascii="Times New Roman" w:hAnsi="Times New Roman" w:cs="Times New Roman"/>
          <w:lang w:val="en-US"/>
        </w:rPr>
        <w:t>.</w:t>
      </w:r>
    </w:p>
  </w:footnote>
  <w:footnote w:id="58">
    <w:p w14:paraId="1253CAA1" w14:textId="3EA8B782" w:rsidR="00EE36C7" w:rsidRPr="00F2782C"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lang w:val="en-US"/>
        </w:rPr>
        <w:t xml:space="preserve">Bows and Herring (n 6) </w:t>
      </w:r>
      <w:r w:rsidR="00F2782C" w:rsidRPr="00F2782C">
        <w:rPr>
          <w:rFonts w:ascii="Times New Roman" w:hAnsi="Times New Roman" w:cs="Times New Roman"/>
          <w:lang w:val="en-US"/>
        </w:rPr>
        <w:t>528</w:t>
      </w:r>
      <w:r w:rsidRPr="00F2782C">
        <w:rPr>
          <w:rFonts w:ascii="Times New Roman" w:hAnsi="Times New Roman" w:cs="Times New Roman"/>
          <w:lang w:val="en-US"/>
        </w:rPr>
        <w:t>.</w:t>
      </w:r>
    </w:p>
  </w:footnote>
  <w:footnote w:id="59">
    <w:p w14:paraId="33912FAC" w14:textId="58181C41" w:rsidR="00EE36C7" w:rsidRPr="00F2782C" w:rsidRDefault="00EE36C7" w:rsidP="00EE36C7">
      <w:pPr>
        <w:pStyle w:val="FootnoteText"/>
        <w:jc w:val="both"/>
        <w:rPr>
          <w:rFonts w:ascii="Times New Roman" w:hAnsi="Times New Roman" w:cs="Times New Roman"/>
          <w:highlight w:val="green"/>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bookmarkStart w:id="0" w:name="_Hlk58704707"/>
      <w:r w:rsidRPr="00F2782C">
        <w:rPr>
          <w:rFonts w:ascii="Times New Roman" w:hAnsi="Times New Roman" w:cs="Times New Roman"/>
          <w:lang w:val="en-US"/>
        </w:rPr>
        <w:t>We Can’t Consent to This (n 20)</w:t>
      </w:r>
      <w:r w:rsidR="00F2782C" w:rsidRPr="00F2782C">
        <w:rPr>
          <w:rFonts w:ascii="Times New Roman" w:hAnsi="Times New Roman" w:cs="Times New Roman"/>
          <w:lang w:val="en-US"/>
        </w:rPr>
        <w:t>.</w:t>
      </w:r>
    </w:p>
    <w:bookmarkEnd w:id="0"/>
  </w:footnote>
  <w:footnote w:id="60">
    <w:p w14:paraId="63DEA144" w14:textId="5CE82B3B" w:rsidR="00EE36C7" w:rsidRPr="008E464A" w:rsidRDefault="00EE36C7" w:rsidP="00EE36C7">
      <w:pPr>
        <w:pStyle w:val="FootnoteText"/>
        <w:jc w:val="both"/>
        <w:rPr>
          <w:rFonts w:ascii="Times New Roman" w:hAnsi="Times New Roman" w:cs="Times New Roman"/>
          <w:highlight w:val="green"/>
          <w:lang w:val="en-US"/>
        </w:rPr>
      </w:pPr>
      <w:r w:rsidRPr="00F2782C">
        <w:rPr>
          <w:rStyle w:val="FootnoteReference"/>
          <w:rFonts w:ascii="Times New Roman" w:hAnsi="Times New Roman" w:cs="Times New Roman"/>
        </w:rPr>
        <w:footnoteRef/>
      </w:r>
      <w:r w:rsidRPr="00F2782C">
        <w:rPr>
          <w:rFonts w:ascii="Times New Roman" w:hAnsi="Times New Roman" w:cs="Times New Roman"/>
        </w:rPr>
        <w:t xml:space="preserve"> </w:t>
      </w:r>
      <w:r w:rsidRPr="00F2782C">
        <w:rPr>
          <w:rFonts w:ascii="Times New Roman" w:hAnsi="Times New Roman" w:cs="Times New Roman"/>
          <w:lang w:val="en-US"/>
        </w:rPr>
        <w:t>Rogers (n 5</w:t>
      </w:r>
      <w:r w:rsidR="00F2782C" w:rsidRPr="00F2782C">
        <w:rPr>
          <w:rFonts w:ascii="Times New Roman" w:hAnsi="Times New Roman" w:cs="Times New Roman"/>
          <w:lang w:val="en-US"/>
        </w:rPr>
        <w:t>4</w:t>
      </w:r>
      <w:r w:rsidRPr="00F2782C">
        <w:rPr>
          <w:rFonts w:ascii="Times New Roman" w:hAnsi="Times New Roman" w:cs="Times New Roman"/>
          <w:lang w:val="en-US"/>
        </w:rPr>
        <w:t>).</w:t>
      </w:r>
    </w:p>
  </w:footnote>
  <w:footnote w:id="61">
    <w:p w14:paraId="6EDD87FD" w14:textId="7A1EE557" w:rsidR="00EE36C7" w:rsidRPr="008E464A" w:rsidRDefault="00EE36C7" w:rsidP="00EE36C7">
      <w:pPr>
        <w:pStyle w:val="FootnoteText"/>
        <w:jc w:val="both"/>
        <w:rPr>
          <w:rFonts w:ascii="Times New Roman" w:hAnsi="Times New Roman" w:cs="Times New Roman"/>
          <w:highlight w:val="green"/>
          <w:lang w:val="en-US"/>
        </w:rPr>
      </w:pPr>
      <w:r w:rsidRPr="00CB6F21">
        <w:rPr>
          <w:rStyle w:val="FootnoteReference"/>
          <w:rFonts w:ascii="Times New Roman" w:hAnsi="Times New Roman" w:cs="Times New Roman"/>
        </w:rPr>
        <w:footnoteRef/>
      </w:r>
      <w:r w:rsidRPr="00CB6F21">
        <w:rPr>
          <w:rFonts w:ascii="Times New Roman" w:hAnsi="Times New Roman" w:cs="Times New Roman"/>
        </w:rPr>
        <w:t xml:space="preserve"> </w:t>
      </w:r>
      <w:r w:rsidRPr="00CB6F21">
        <w:rPr>
          <w:rFonts w:ascii="Times New Roman" w:hAnsi="Times New Roman" w:cs="Times New Roman"/>
          <w:i/>
          <w:iCs/>
        </w:rPr>
        <w:t xml:space="preserve">Brown </w:t>
      </w:r>
      <w:r w:rsidRPr="00CB6F21">
        <w:rPr>
          <w:rFonts w:ascii="Times New Roman" w:hAnsi="Times New Roman" w:cs="Times New Roman"/>
          <w:lang w:val="en-US"/>
        </w:rPr>
        <w:t>(n 2)</w:t>
      </w:r>
      <w:r w:rsidR="00CB6F21" w:rsidRPr="00CB6F21">
        <w:rPr>
          <w:rFonts w:ascii="Times New Roman" w:hAnsi="Times New Roman" w:cs="Times New Roman"/>
          <w:lang w:val="en-US"/>
        </w:rPr>
        <w:t>.</w:t>
      </w:r>
    </w:p>
  </w:footnote>
  <w:footnote w:id="62">
    <w:p w14:paraId="43B6F064" w14:textId="44BB206D" w:rsidR="00EE36C7" w:rsidRPr="00214C69" w:rsidRDefault="00EE36C7" w:rsidP="00EE36C7">
      <w:pPr>
        <w:pStyle w:val="FootnoteText"/>
        <w:jc w:val="both"/>
        <w:rPr>
          <w:rFonts w:ascii="Times New Roman" w:hAnsi="Times New Roman" w:cs="Times New Roman"/>
          <w:lang w:val="en-US"/>
        </w:rPr>
      </w:pPr>
      <w:r w:rsidRPr="00214C69">
        <w:rPr>
          <w:rStyle w:val="FootnoteReference"/>
          <w:rFonts w:ascii="Times New Roman" w:hAnsi="Times New Roman" w:cs="Times New Roman"/>
        </w:rPr>
        <w:footnoteRef/>
      </w:r>
      <w:r w:rsidRPr="00214C69">
        <w:rPr>
          <w:rFonts w:ascii="Times New Roman" w:hAnsi="Times New Roman" w:cs="Times New Roman"/>
        </w:rPr>
        <w:t xml:space="preserve"> </w:t>
      </w:r>
      <w:r w:rsidRPr="00214C69">
        <w:rPr>
          <w:rFonts w:ascii="Times New Roman" w:hAnsi="Times New Roman" w:cs="Times New Roman"/>
          <w:lang w:val="en-US"/>
        </w:rPr>
        <w:t>Centre for Women’s Justice, ‘Submission to the Domestic Abuse Bill Committee’ (21 May 2020) &lt;</w:t>
      </w:r>
      <w:hyperlink r:id="rId7" w:history="1">
        <w:r w:rsidRPr="00214C69">
          <w:rPr>
            <w:rStyle w:val="Hyperlink"/>
            <w:rFonts w:ascii="Times New Roman" w:hAnsi="Times New Roman" w:cs="Times New Roman"/>
            <w:lang w:val="en-US"/>
          </w:rPr>
          <w:t>https://static1.squarespace.com/static/5aa98420f2e6b1ba0c874e42/t/5ec69e2d6bbca20d0d49acb7/1590074927743/CWJ+non-fatal+strangulation.Committee+briefing.21.5.20.pdf</w:t>
        </w:r>
      </w:hyperlink>
      <w:r w:rsidRPr="00214C69">
        <w:rPr>
          <w:rFonts w:ascii="Times New Roman" w:hAnsi="Times New Roman" w:cs="Times New Roman"/>
          <w:lang w:val="en-US"/>
        </w:rPr>
        <w:t xml:space="preserve">&gt; </w:t>
      </w:r>
      <w:r w:rsidR="00843343" w:rsidRPr="00214C69">
        <w:rPr>
          <w:rFonts w:ascii="Times New Roman" w:hAnsi="Times New Roman" w:cs="Times New Roman"/>
          <w:lang w:val="en-US"/>
        </w:rPr>
        <w:t>A</w:t>
      </w:r>
      <w:r w:rsidRPr="00214C69">
        <w:rPr>
          <w:rFonts w:ascii="Times New Roman" w:hAnsi="Times New Roman" w:cs="Times New Roman"/>
          <w:lang w:val="en-US"/>
        </w:rPr>
        <w:t>ccessed on 5 December 2020.</w:t>
      </w:r>
    </w:p>
  </w:footnote>
  <w:footnote w:id="63">
    <w:p w14:paraId="5C31135A" w14:textId="77777777" w:rsidR="00EE36C7" w:rsidRPr="008E464A" w:rsidRDefault="00EE36C7" w:rsidP="00EE36C7">
      <w:pPr>
        <w:pStyle w:val="FootnoteText"/>
        <w:rPr>
          <w:highlight w:val="green"/>
          <w:lang w:val="en-US"/>
        </w:rPr>
      </w:pPr>
      <w:r w:rsidRPr="00214C69">
        <w:rPr>
          <w:rStyle w:val="FootnoteReference"/>
        </w:rPr>
        <w:footnoteRef/>
      </w:r>
      <w:r w:rsidRPr="00214C69">
        <w:t xml:space="preserve"> </w:t>
      </w:r>
      <w:r w:rsidRPr="00214C69">
        <w:rPr>
          <w:rFonts w:ascii="Times New Roman" w:hAnsi="Times New Roman" w:cs="Times New Roman"/>
          <w:lang w:val="en-US"/>
        </w:rPr>
        <w:t>Edwards (n 21) 295.</w:t>
      </w:r>
    </w:p>
  </w:footnote>
  <w:footnote w:id="64">
    <w:p w14:paraId="61C05A88" w14:textId="77777777" w:rsidR="00EE36C7" w:rsidRPr="0094777A" w:rsidRDefault="00EE36C7" w:rsidP="00EE36C7">
      <w:pPr>
        <w:jc w:val="both"/>
        <w:rPr>
          <w:rFonts w:ascii="Times New Roman" w:eastAsia="Times New Roman" w:hAnsi="Times New Roman" w:cs="Times New Roman"/>
          <w:color w:val="000000" w:themeColor="text1"/>
          <w:sz w:val="20"/>
          <w:szCs w:val="20"/>
        </w:rPr>
      </w:pPr>
      <w:r w:rsidRPr="0094777A">
        <w:rPr>
          <w:rStyle w:val="FootnoteReference"/>
          <w:rFonts w:ascii="Times New Roman" w:hAnsi="Times New Roman" w:cs="Times New Roman"/>
          <w:sz w:val="20"/>
          <w:szCs w:val="20"/>
        </w:rPr>
        <w:footnoteRef/>
      </w:r>
      <w:r w:rsidRPr="0094777A">
        <w:rPr>
          <w:rFonts w:ascii="Times New Roman" w:hAnsi="Times New Roman" w:cs="Times New Roman"/>
          <w:sz w:val="20"/>
          <w:szCs w:val="20"/>
        </w:rPr>
        <w:t xml:space="preserve"> </w:t>
      </w:r>
      <w:r w:rsidRPr="0094777A">
        <w:rPr>
          <w:rFonts w:ascii="Times New Roman" w:eastAsia="Times New Roman" w:hAnsi="Times New Roman" w:cs="Times New Roman"/>
          <w:sz w:val="20"/>
          <w:szCs w:val="20"/>
          <w:shd w:val="clear" w:color="auto" w:fill="FFFFFF"/>
        </w:rPr>
        <w:t>J Monckton-Smith, </w:t>
      </w:r>
      <w:r w:rsidRPr="0094777A">
        <w:rPr>
          <w:rFonts w:ascii="Times New Roman" w:eastAsia="Times New Roman" w:hAnsi="Times New Roman" w:cs="Times New Roman"/>
          <w:i/>
          <w:iCs/>
          <w:sz w:val="20"/>
          <w:szCs w:val="20"/>
          <w:shd w:val="clear" w:color="auto" w:fill="FFFFFF"/>
        </w:rPr>
        <w:t xml:space="preserve">Murder, Gender and the Media: Narratives of </w:t>
      </w:r>
      <w:r w:rsidRPr="0094777A">
        <w:rPr>
          <w:rFonts w:ascii="Times New Roman" w:eastAsia="Times New Roman" w:hAnsi="Times New Roman" w:cs="Times New Roman"/>
          <w:i/>
          <w:iCs/>
          <w:color w:val="000000" w:themeColor="text1"/>
          <w:sz w:val="20"/>
          <w:szCs w:val="20"/>
          <w:shd w:val="clear" w:color="auto" w:fill="FFFFFF"/>
        </w:rPr>
        <w:t>Dangerous Love</w:t>
      </w:r>
      <w:r w:rsidRPr="0094777A">
        <w:rPr>
          <w:rFonts w:ascii="Times New Roman" w:eastAsia="Times New Roman" w:hAnsi="Times New Roman" w:cs="Times New Roman"/>
          <w:color w:val="000000" w:themeColor="text1"/>
          <w:sz w:val="20"/>
          <w:szCs w:val="20"/>
          <w:shd w:val="clear" w:color="auto" w:fill="FFFFFF"/>
        </w:rPr>
        <w:t xml:space="preserve"> (Palgrave Macmillan 2012); JMW </w:t>
      </w:r>
      <w:proofErr w:type="spellStart"/>
      <w:r w:rsidRPr="0094777A">
        <w:rPr>
          <w:rFonts w:ascii="Times New Roman" w:eastAsia="Times New Roman" w:hAnsi="Times New Roman" w:cs="Times New Roman"/>
          <w:color w:val="000000" w:themeColor="text1"/>
          <w:sz w:val="20"/>
          <w:szCs w:val="20"/>
          <w:shd w:val="clear" w:color="auto" w:fill="FFFFFF"/>
        </w:rPr>
        <w:t>Kratzer</w:t>
      </w:r>
      <w:proofErr w:type="spellEnd"/>
      <w:r w:rsidRPr="0094777A">
        <w:rPr>
          <w:rFonts w:ascii="Times New Roman" w:eastAsia="Times New Roman" w:hAnsi="Times New Roman" w:cs="Times New Roman"/>
          <w:color w:val="000000" w:themeColor="text1"/>
          <w:sz w:val="20"/>
          <w:szCs w:val="20"/>
          <w:shd w:val="clear" w:color="auto" w:fill="FFFFFF"/>
        </w:rPr>
        <w:t> (ed), </w:t>
      </w:r>
      <w:r w:rsidRPr="0094777A">
        <w:rPr>
          <w:rFonts w:ascii="Times New Roman" w:eastAsia="Times New Roman" w:hAnsi="Times New Roman" w:cs="Times New Roman"/>
          <w:i/>
          <w:iCs/>
          <w:color w:val="000000" w:themeColor="text1"/>
          <w:sz w:val="20"/>
          <w:szCs w:val="20"/>
          <w:shd w:val="clear" w:color="auto" w:fill="FFFFFF"/>
        </w:rPr>
        <w:t>Understanding the Influence of the Fifty Shades of Grey Phenomenon</w:t>
      </w:r>
      <w:r w:rsidRPr="0094777A">
        <w:rPr>
          <w:rFonts w:ascii="Times New Roman" w:eastAsia="Times New Roman" w:hAnsi="Times New Roman" w:cs="Times New Roman"/>
          <w:color w:val="000000" w:themeColor="text1"/>
          <w:sz w:val="20"/>
          <w:szCs w:val="20"/>
          <w:shd w:val="clear" w:color="auto" w:fill="FFFFFF"/>
        </w:rPr>
        <w:t> (Lexington Books 2020) 10. </w:t>
      </w:r>
    </w:p>
  </w:footnote>
  <w:footnote w:id="65">
    <w:p w14:paraId="2B5DF065" w14:textId="38E67C93"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94777A">
        <w:rPr>
          <w:rStyle w:val="FootnoteReference"/>
          <w:rFonts w:ascii="Times New Roman" w:hAnsi="Times New Roman" w:cs="Times New Roman"/>
          <w:color w:val="000000" w:themeColor="text1"/>
          <w:sz w:val="20"/>
          <w:szCs w:val="20"/>
        </w:rPr>
        <w:footnoteRef/>
      </w:r>
      <w:r w:rsidRPr="0094777A">
        <w:rPr>
          <w:rFonts w:ascii="Times New Roman" w:eastAsia="Times New Roman" w:hAnsi="Times New Roman" w:cs="Times New Roman"/>
          <w:color w:val="000000" w:themeColor="text1"/>
          <w:sz w:val="20"/>
          <w:szCs w:val="20"/>
          <w:shd w:val="clear" w:color="auto" w:fill="FFFFFF"/>
        </w:rPr>
        <w:t xml:space="preserve"> S Edwards, ‘Assault, Strangulation and Murder – Challenging the Sexual Libido Consent Narrative’ in A Reed, M </w:t>
      </w:r>
      <w:proofErr w:type="spellStart"/>
      <w:r w:rsidRPr="0094777A">
        <w:rPr>
          <w:rFonts w:ascii="Times New Roman" w:eastAsia="Times New Roman" w:hAnsi="Times New Roman" w:cs="Times New Roman"/>
          <w:color w:val="000000" w:themeColor="text1"/>
          <w:sz w:val="20"/>
          <w:szCs w:val="20"/>
          <w:shd w:val="clear" w:color="auto" w:fill="FFFFFF"/>
        </w:rPr>
        <w:t>Bohlander</w:t>
      </w:r>
      <w:proofErr w:type="spellEnd"/>
      <w:r w:rsidRPr="0094777A">
        <w:rPr>
          <w:rFonts w:ascii="Times New Roman" w:eastAsia="Times New Roman" w:hAnsi="Times New Roman" w:cs="Times New Roman"/>
          <w:color w:val="000000" w:themeColor="text1"/>
          <w:sz w:val="20"/>
          <w:szCs w:val="20"/>
          <w:shd w:val="clear" w:color="auto" w:fill="FFFFFF"/>
        </w:rPr>
        <w:t xml:space="preserve"> (eds), </w:t>
      </w:r>
      <w:r w:rsidRPr="0094777A">
        <w:rPr>
          <w:rFonts w:ascii="Times New Roman" w:eastAsia="Times New Roman" w:hAnsi="Times New Roman" w:cs="Times New Roman"/>
          <w:i/>
          <w:iCs/>
          <w:color w:val="000000" w:themeColor="text1"/>
          <w:sz w:val="20"/>
          <w:szCs w:val="20"/>
          <w:shd w:val="clear" w:color="auto" w:fill="FFFFFF"/>
        </w:rPr>
        <w:t>Consent: Domestic and Comparative Perspectives</w:t>
      </w:r>
      <w:r w:rsidRPr="0094777A">
        <w:rPr>
          <w:rFonts w:ascii="Times New Roman" w:eastAsia="Times New Roman" w:hAnsi="Times New Roman" w:cs="Times New Roman"/>
          <w:color w:val="000000" w:themeColor="text1"/>
          <w:sz w:val="20"/>
          <w:szCs w:val="20"/>
          <w:shd w:val="clear" w:color="auto" w:fill="FFFFFF"/>
        </w:rPr>
        <w:t xml:space="preserve"> (Routledge 2017) 88-103; C Gallant and A </w:t>
      </w:r>
      <w:proofErr w:type="spellStart"/>
      <w:r w:rsidRPr="0094777A">
        <w:rPr>
          <w:rFonts w:ascii="Times New Roman" w:eastAsia="Times New Roman" w:hAnsi="Times New Roman" w:cs="Times New Roman"/>
          <w:color w:val="000000" w:themeColor="text1"/>
          <w:sz w:val="20"/>
          <w:szCs w:val="20"/>
          <w:shd w:val="clear" w:color="auto" w:fill="FFFFFF"/>
        </w:rPr>
        <w:t>Zanin</w:t>
      </w:r>
      <w:proofErr w:type="spellEnd"/>
      <w:r w:rsidRPr="0094777A">
        <w:rPr>
          <w:rFonts w:ascii="Times New Roman" w:eastAsia="Times New Roman" w:hAnsi="Times New Roman" w:cs="Times New Roman"/>
          <w:color w:val="000000" w:themeColor="text1"/>
          <w:sz w:val="20"/>
          <w:szCs w:val="20"/>
          <w:shd w:val="clear" w:color="auto" w:fill="FFFFFF"/>
        </w:rPr>
        <w:t xml:space="preserve">, ‘The Bogus BDSM Defence’ in KA </w:t>
      </w:r>
      <w:proofErr w:type="spellStart"/>
      <w:r w:rsidRPr="0094777A">
        <w:rPr>
          <w:rFonts w:ascii="Times New Roman" w:eastAsia="Times New Roman" w:hAnsi="Times New Roman" w:cs="Times New Roman"/>
          <w:color w:val="000000" w:themeColor="text1"/>
          <w:sz w:val="20"/>
          <w:szCs w:val="20"/>
          <w:shd w:val="clear" w:color="auto" w:fill="FFFFFF"/>
        </w:rPr>
        <w:t>Malinen</w:t>
      </w:r>
      <w:proofErr w:type="spellEnd"/>
      <w:r w:rsidRPr="0094777A">
        <w:rPr>
          <w:rFonts w:ascii="Times New Roman" w:eastAsia="Times New Roman" w:hAnsi="Times New Roman" w:cs="Times New Roman"/>
          <w:color w:val="000000" w:themeColor="text1"/>
          <w:sz w:val="20"/>
          <w:szCs w:val="20"/>
          <w:shd w:val="clear" w:color="auto" w:fill="FFFFFF"/>
        </w:rPr>
        <w:t xml:space="preserve"> (ed), </w:t>
      </w:r>
      <w:r w:rsidRPr="0094777A">
        <w:rPr>
          <w:rFonts w:ascii="Times New Roman" w:eastAsia="Times New Roman" w:hAnsi="Times New Roman" w:cs="Times New Roman"/>
          <w:i/>
          <w:iCs/>
          <w:color w:val="000000" w:themeColor="text1"/>
          <w:sz w:val="20"/>
          <w:szCs w:val="20"/>
          <w:shd w:val="clear" w:color="auto" w:fill="FFFFFF"/>
        </w:rPr>
        <w:t>Dis/Consent: Perspectives on Sexual Consent and Sexual Violence</w:t>
      </w:r>
      <w:r w:rsidRPr="0094777A">
        <w:rPr>
          <w:rFonts w:ascii="Times New Roman" w:eastAsia="Times New Roman" w:hAnsi="Times New Roman" w:cs="Times New Roman"/>
          <w:color w:val="000000" w:themeColor="text1"/>
          <w:sz w:val="20"/>
          <w:szCs w:val="20"/>
          <w:shd w:val="clear" w:color="auto" w:fill="FFFFFF"/>
        </w:rPr>
        <w:t> (Fernwood 2019) 32, 37. </w:t>
      </w:r>
    </w:p>
  </w:footnote>
  <w:footnote w:id="66">
    <w:p w14:paraId="4DDC1620" w14:textId="2CAD454B" w:rsidR="00EE36C7" w:rsidRPr="00273E9E" w:rsidRDefault="00EE36C7" w:rsidP="00EE36C7">
      <w:pPr>
        <w:jc w:val="both"/>
        <w:rPr>
          <w:rFonts w:ascii="Times New Roman" w:eastAsia="Times New Roman" w:hAnsi="Times New Roman" w:cs="Times New Roman"/>
          <w:color w:val="000000" w:themeColor="text1"/>
          <w:sz w:val="20"/>
          <w:szCs w:val="20"/>
          <w:highlight w:val="green"/>
        </w:rPr>
      </w:pPr>
      <w:r w:rsidRPr="00273E9E">
        <w:rPr>
          <w:rStyle w:val="FootnoteReference"/>
          <w:rFonts w:ascii="Times New Roman" w:hAnsi="Times New Roman" w:cs="Times New Roman"/>
          <w:color w:val="000000" w:themeColor="text1"/>
          <w:sz w:val="20"/>
          <w:szCs w:val="20"/>
        </w:rPr>
        <w:footnoteRef/>
      </w:r>
      <w:r w:rsidRPr="00273E9E">
        <w:rPr>
          <w:rFonts w:ascii="Times New Roman" w:hAnsi="Times New Roman" w:cs="Times New Roman"/>
          <w:color w:val="000000" w:themeColor="text1"/>
          <w:sz w:val="20"/>
          <w:szCs w:val="20"/>
        </w:rPr>
        <w:t xml:space="preserve"> </w:t>
      </w:r>
      <w:r w:rsidRPr="00273E9E">
        <w:rPr>
          <w:rFonts w:ascii="Times New Roman" w:eastAsia="Times New Roman" w:hAnsi="Times New Roman" w:cs="Times New Roman"/>
          <w:color w:val="000000" w:themeColor="text1"/>
          <w:sz w:val="20"/>
          <w:szCs w:val="20"/>
          <w:shd w:val="clear" w:color="auto" w:fill="FFFFFF"/>
        </w:rPr>
        <w:t>There has been a 90 per cent increase in use of the ‘rough sex defence’ in England and Wales since 2010, according to campaign group</w:t>
      </w:r>
      <w:r w:rsidR="00F2782C" w:rsidRPr="00273E9E">
        <w:rPr>
          <w:rFonts w:ascii="Times New Roman" w:eastAsia="Times New Roman" w:hAnsi="Times New Roman" w:cs="Times New Roman"/>
          <w:color w:val="000000" w:themeColor="text1"/>
          <w:sz w:val="20"/>
          <w:szCs w:val="20"/>
          <w:shd w:val="clear" w:color="auto" w:fill="FFFFFF"/>
        </w:rPr>
        <w:t>.</w:t>
      </w:r>
      <w:r w:rsidRPr="00273E9E">
        <w:rPr>
          <w:rFonts w:ascii="Times New Roman" w:eastAsia="Times New Roman" w:hAnsi="Times New Roman" w:cs="Times New Roman"/>
          <w:color w:val="000000" w:themeColor="text1"/>
          <w:sz w:val="20"/>
          <w:szCs w:val="20"/>
          <w:shd w:val="clear" w:color="auto" w:fill="FFFFFF"/>
        </w:rPr>
        <w:t xml:space="preserve"> We Can’t Consent </w:t>
      </w:r>
      <w:proofErr w:type="gramStart"/>
      <w:r w:rsidRPr="00273E9E">
        <w:rPr>
          <w:rFonts w:ascii="Times New Roman" w:eastAsia="Times New Roman" w:hAnsi="Times New Roman" w:cs="Times New Roman"/>
          <w:color w:val="000000" w:themeColor="text1"/>
          <w:sz w:val="20"/>
          <w:szCs w:val="20"/>
          <w:shd w:val="clear" w:color="auto" w:fill="FFFFFF"/>
        </w:rPr>
        <w:t>To</w:t>
      </w:r>
      <w:proofErr w:type="gramEnd"/>
      <w:r w:rsidRPr="00273E9E">
        <w:rPr>
          <w:rFonts w:ascii="Times New Roman" w:eastAsia="Times New Roman" w:hAnsi="Times New Roman" w:cs="Times New Roman"/>
          <w:color w:val="000000" w:themeColor="text1"/>
          <w:sz w:val="20"/>
          <w:szCs w:val="20"/>
          <w:shd w:val="clear" w:color="auto" w:fill="FFFFFF"/>
        </w:rPr>
        <w:t> This (n 20)</w:t>
      </w:r>
      <w:r w:rsidR="00843343" w:rsidRPr="00273E9E">
        <w:rPr>
          <w:rFonts w:ascii="Times New Roman" w:eastAsia="Times New Roman" w:hAnsi="Times New Roman" w:cs="Times New Roman"/>
          <w:color w:val="000000" w:themeColor="text1"/>
          <w:sz w:val="20"/>
          <w:szCs w:val="20"/>
          <w:shd w:val="clear" w:color="auto" w:fill="FFFFFF"/>
        </w:rPr>
        <w:t>.</w:t>
      </w:r>
    </w:p>
  </w:footnote>
  <w:footnote w:id="67">
    <w:p w14:paraId="0F49B5C0" w14:textId="557BF591" w:rsidR="00EE36C7" w:rsidRPr="00273E9E" w:rsidRDefault="00EE36C7" w:rsidP="00EE36C7">
      <w:pPr>
        <w:jc w:val="both"/>
        <w:rPr>
          <w:rFonts w:ascii="Times New Roman" w:eastAsia="Times New Roman" w:hAnsi="Times New Roman" w:cs="Times New Roman"/>
          <w:color w:val="000000" w:themeColor="text1"/>
          <w:sz w:val="20"/>
          <w:szCs w:val="20"/>
          <w:shd w:val="clear" w:color="auto" w:fill="FFFFFF"/>
        </w:rPr>
      </w:pPr>
      <w:r w:rsidRPr="00273E9E">
        <w:rPr>
          <w:rStyle w:val="FootnoteReference"/>
          <w:rFonts w:ascii="Times New Roman" w:hAnsi="Times New Roman" w:cs="Times New Roman"/>
          <w:color w:val="000000" w:themeColor="text1"/>
          <w:sz w:val="20"/>
          <w:szCs w:val="20"/>
        </w:rPr>
        <w:footnoteRef/>
      </w:r>
      <w:r w:rsidRPr="00273E9E">
        <w:rPr>
          <w:rFonts w:ascii="Times New Roman" w:hAnsi="Times New Roman" w:cs="Times New Roman"/>
          <w:color w:val="000000" w:themeColor="text1"/>
          <w:sz w:val="20"/>
          <w:szCs w:val="20"/>
        </w:rPr>
        <w:t xml:space="preserve"> </w:t>
      </w:r>
      <w:r w:rsidRPr="00273E9E">
        <w:rPr>
          <w:rFonts w:ascii="Times New Roman" w:eastAsia="Times New Roman" w:hAnsi="Times New Roman" w:cs="Times New Roman"/>
          <w:color w:val="000000" w:themeColor="text1"/>
          <w:sz w:val="20"/>
          <w:szCs w:val="20"/>
          <w:shd w:val="clear" w:color="auto" w:fill="FFFFFF"/>
        </w:rPr>
        <w:t>R Pain, ‘Everyday Terrorism: Connecting Domestic Violence and Global Terrorism’ (2014) 38(4) Progress in Human Geography 531; </w:t>
      </w:r>
      <w:r w:rsidR="00843343" w:rsidRPr="00273E9E">
        <w:rPr>
          <w:rFonts w:ascii="Times New Roman" w:eastAsia="Times New Roman" w:hAnsi="Times New Roman" w:cs="Times New Roman"/>
          <w:color w:val="000000" w:themeColor="text1"/>
          <w:sz w:val="20"/>
          <w:szCs w:val="20"/>
          <w:shd w:val="clear" w:color="auto" w:fill="FFFFFF"/>
        </w:rPr>
        <w:t>&lt;</w:t>
      </w:r>
      <w:hyperlink r:id="rId8" w:history="1">
        <w:r w:rsidR="00843343" w:rsidRPr="00273E9E">
          <w:rPr>
            <w:rStyle w:val="Hyperlink"/>
            <w:rFonts w:ascii="Times New Roman" w:eastAsia="Times New Roman" w:hAnsi="Times New Roman" w:cs="Times New Roman"/>
            <w:sz w:val="20"/>
            <w:szCs w:val="20"/>
            <w:shd w:val="clear" w:color="auto" w:fill="FFFFFF"/>
          </w:rPr>
          <w:t>https://theconversation.com/factcheck-is-domestic-violence-the-leading-preventable-c ause-of-death-and-and-illness-for-women-aged-18-to-44-94102</w:t>
        </w:r>
      </w:hyperlink>
      <w:r w:rsidR="00843343" w:rsidRPr="00273E9E">
        <w:rPr>
          <w:rFonts w:ascii="Times New Roman" w:eastAsia="Times New Roman" w:hAnsi="Times New Roman" w:cs="Times New Roman"/>
          <w:sz w:val="20"/>
          <w:szCs w:val="20"/>
          <w:shd w:val="clear" w:color="auto" w:fill="FFFFFF"/>
        </w:rPr>
        <w:t>&gt;</w:t>
      </w:r>
      <w:r w:rsidRPr="00273E9E">
        <w:rPr>
          <w:rFonts w:ascii="Times New Roman" w:eastAsia="Times New Roman" w:hAnsi="Times New Roman" w:cs="Times New Roman"/>
          <w:color w:val="000000" w:themeColor="text1"/>
          <w:sz w:val="20"/>
          <w:szCs w:val="20"/>
          <w:shd w:val="clear" w:color="auto" w:fill="FFFFFF"/>
        </w:rPr>
        <w:t> </w:t>
      </w:r>
      <w:r w:rsidR="00843343" w:rsidRPr="00273E9E">
        <w:rPr>
          <w:rFonts w:ascii="Times New Roman" w:eastAsia="Times New Roman" w:hAnsi="Times New Roman" w:cs="Times New Roman"/>
          <w:color w:val="000000" w:themeColor="text1"/>
          <w:sz w:val="20"/>
          <w:szCs w:val="20"/>
          <w:shd w:val="clear" w:color="auto" w:fill="FFFFFF"/>
        </w:rPr>
        <w:t xml:space="preserve">Accessed on </w:t>
      </w:r>
      <w:r w:rsidRPr="00273E9E">
        <w:rPr>
          <w:rFonts w:ascii="Times New Roman" w:eastAsia="Times New Roman" w:hAnsi="Times New Roman" w:cs="Times New Roman"/>
          <w:color w:val="000000" w:themeColor="text1"/>
          <w:sz w:val="20"/>
          <w:szCs w:val="20"/>
          <w:shd w:val="clear" w:color="auto" w:fill="FFFFFF"/>
        </w:rPr>
        <w:t>3 December 2020. </w:t>
      </w:r>
      <w:r w:rsidR="00843343" w:rsidRPr="00273E9E">
        <w:rPr>
          <w:rFonts w:ascii="Times New Roman" w:eastAsia="Times New Roman" w:hAnsi="Times New Roman" w:cs="Times New Roman"/>
          <w:color w:val="000000" w:themeColor="text1"/>
          <w:sz w:val="20"/>
          <w:szCs w:val="20"/>
          <w:shd w:val="clear" w:color="auto" w:fill="FFFFFF"/>
        </w:rPr>
        <w:t>Home Office,</w:t>
      </w:r>
      <w:r w:rsidRPr="00273E9E">
        <w:rPr>
          <w:rFonts w:ascii="Times New Roman" w:eastAsia="Times New Roman" w:hAnsi="Times New Roman" w:cs="Times New Roman"/>
          <w:color w:val="000000" w:themeColor="text1"/>
          <w:sz w:val="20"/>
          <w:szCs w:val="20"/>
          <w:shd w:val="clear" w:color="auto" w:fill="FFFFFF"/>
        </w:rPr>
        <w:t> </w:t>
      </w:r>
      <w:r w:rsidRPr="00273E9E">
        <w:rPr>
          <w:rFonts w:ascii="Times New Roman" w:eastAsia="Times New Roman" w:hAnsi="Times New Roman" w:cs="Times New Roman"/>
          <w:i/>
          <w:iCs/>
          <w:color w:val="000000" w:themeColor="text1"/>
          <w:sz w:val="20"/>
          <w:szCs w:val="20"/>
          <w:shd w:val="clear" w:color="auto" w:fill="FFFFFF"/>
        </w:rPr>
        <w:t>Domestic Homicide Reviews: Key Findings from Analysis</w:t>
      </w:r>
      <w:r w:rsidRPr="00273E9E">
        <w:rPr>
          <w:rFonts w:ascii="Times New Roman" w:eastAsia="Times New Roman" w:hAnsi="Times New Roman" w:cs="Times New Roman"/>
          <w:color w:val="000000" w:themeColor="text1"/>
          <w:sz w:val="20"/>
          <w:szCs w:val="20"/>
          <w:shd w:val="clear" w:color="auto" w:fill="FFFFFF"/>
        </w:rPr>
        <w:t> (Home Office 2016) </w:t>
      </w:r>
      <w:r w:rsidR="00843343" w:rsidRPr="00273E9E">
        <w:rPr>
          <w:rFonts w:ascii="Times New Roman" w:eastAsia="Times New Roman" w:hAnsi="Times New Roman" w:cs="Times New Roman"/>
          <w:color w:val="000000" w:themeColor="text1"/>
          <w:sz w:val="20"/>
          <w:szCs w:val="20"/>
          <w:shd w:val="clear" w:color="auto" w:fill="FFFFFF"/>
        </w:rPr>
        <w:t>&lt;</w:t>
      </w:r>
      <w:hyperlink w:history="1">
        <w:r w:rsidR="00273E9E" w:rsidRPr="00273E9E">
          <w:rPr>
            <w:rStyle w:val="Hyperlink"/>
            <w:rFonts w:ascii="Times New Roman" w:eastAsia="Times New Roman" w:hAnsi="Times New Roman" w:cs="Times New Roman"/>
            <w:sz w:val="20"/>
            <w:szCs w:val="20"/>
            <w:shd w:val="clear" w:color="auto" w:fill="FFFFFF"/>
          </w:rPr>
          <w:t>https://assets.publishing .service.gov.uk/government/uploads/system/uploads/attachment_data/file/575232/HO-Domestic-Homicide-Review-Analysis-161206.pdf</w:t>
        </w:r>
      </w:hyperlink>
      <w:r w:rsidR="00273E9E" w:rsidRPr="00273E9E">
        <w:rPr>
          <w:rFonts w:ascii="Times New Roman" w:eastAsia="Times New Roman" w:hAnsi="Times New Roman" w:cs="Times New Roman"/>
          <w:color w:val="000000" w:themeColor="text1"/>
          <w:sz w:val="20"/>
          <w:szCs w:val="20"/>
          <w:shd w:val="clear" w:color="auto" w:fill="FFFFFF"/>
        </w:rPr>
        <w:t>&gt;</w:t>
      </w:r>
      <w:r w:rsidR="00843343" w:rsidRPr="00273E9E">
        <w:rPr>
          <w:rFonts w:ascii="Times New Roman" w:eastAsia="Times New Roman" w:hAnsi="Times New Roman" w:cs="Times New Roman"/>
          <w:color w:val="000000" w:themeColor="text1"/>
          <w:sz w:val="20"/>
          <w:szCs w:val="20"/>
          <w:shd w:val="clear" w:color="auto" w:fill="FFFFFF"/>
        </w:rPr>
        <w:t xml:space="preserve"> A</w:t>
      </w:r>
      <w:r w:rsidRPr="00273E9E">
        <w:rPr>
          <w:rFonts w:ascii="Times New Roman" w:eastAsia="Times New Roman" w:hAnsi="Times New Roman" w:cs="Times New Roman"/>
          <w:color w:val="000000" w:themeColor="text1"/>
          <w:sz w:val="20"/>
          <w:szCs w:val="20"/>
          <w:shd w:val="clear" w:color="auto" w:fill="FFFFFF"/>
        </w:rPr>
        <w:t xml:space="preserve">ccessed </w:t>
      </w:r>
      <w:r w:rsidR="00843343" w:rsidRPr="00273E9E">
        <w:rPr>
          <w:rFonts w:ascii="Times New Roman" w:eastAsia="Times New Roman" w:hAnsi="Times New Roman" w:cs="Times New Roman"/>
          <w:color w:val="000000" w:themeColor="text1"/>
          <w:sz w:val="20"/>
          <w:szCs w:val="20"/>
          <w:shd w:val="clear" w:color="auto" w:fill="FFFFFF"/>
        </w:rPr>
        <w:t xml:space="preserve">on </w:t>
      </w:r>
      <w:r w:rsidRPr="00273E9E">
        <w:rPr>
          <w:rFonts w:ascii="Times New Roman" w:eastAsia="Times New Roman" w:hAnsi="Times New Roman" w:cs="Times New Roman"/>
          <w:color w:val="000000" w:themeColor="text1"/>
          <w:sz w:val="20"/>
          <w:szCs w:val="20"/>
          <w:shd w:val="clear" w:color="auto" w:fill="FFFFFF"/>
        </w:rPr>
        <w:t>3 December 2020; Crime Survey for England and Wales, </w:t>
      </w:r>
      <w:r w:rsidRPr="00273E9E">
        <w:rPr>
          <w:rFonts w:ascii="Times New Roman" w:eastAsia="Times New Roman" w:hAnsi="Times New Roman" w:cs="Times New Roman"/>
          <w:i/>
          <w:iCs/>
          <w:color w:val="000000" w:themeColor="text1"/>
          <w:sz w:val="20"/>
          <w:szCs w:val="20"/>
          <w:shd w:val="clear" w:color="auto" w:fill="FFFFFF"/>
        </w:rPr>
        <w:t>Domestic Abuse Victim Characteristics, England and Wales: Year Ending March 2019</w:t>
      </w:r>
      <w:r w:rsidRPr="00273E9E">
        <w:rPr>
          <w:rFonts w:ascii="Times New Roman" w:eastAsia="Times New Roman" w:hAnsi="Times New Roman" w:cs="Times New Roman"/>
          <w:color w:val="000000" w:themeColor="text1"/>
          <w:sz w:val="20"/>
          <w:szCs w:val="20"/>
          <w:shd w:val="clear" w:color="auto" w:fill="FFFFFF"/>
        </w:rPr>
        <w:t xml:space="preserve"> (Office for National Statistics 2019) </w:t>
      </w:r>
      <w:r w:rsidR="00843343" w:rsidRPr="00273E9E">
        <w:rPr>
          <w:rFonts w:ascii="Times New Roman" w:eastAsia="Times New Roman" w:hAnsi="Times New Roman" w:cs="Times New Roman"/>
          <w:color w:val="000000" w:themeColor="text1"/>
          <w:sz w:val="20"/>
          <w:szCs w:val="20"/>
          <w:shd w:val="clear" w:color="auto" w:fill="FFFFFF"/>
        </w:rPr>
        <w:t>&lt;</w:t>
      </w:r>
      <w:hyperlink r:id="rId9" w:anchor="sex" w:history="1">
        <w:r w:rsidR="00843343" w:rsidRPr="00273E9E">
          <w:rPr>
            <w:rStyle w:val="Hyperlink"/>
            <w:rFonts w:ascii="Times New Roman" w:eastAsia="Times New Roman" w:hAnsi="Times New Roman" w:cs="Times New Roman"/>
            <w:sz w:val="20"/>
            <w:szCs w:val="20"/>
            <w:shd w:val="clear" w:color="auto" w:fill="FFFFFF"/>
          </w:rPr>
          <w:t>www.ons.gov.uk/peoplepopulationandcommunity/crimeandjustice/articles/domesticabusevictimcharacteristicsenglandandwales/yearendingmarch2019#sex</w:t>
        </w:r>
      </w:hyperlink>
      <w:r w:rsidR="00843343" w:rsidRPr="00273E9E">
        <w:rPr>
          <w:rFonts w:ascii="Times New Roman" w:eastAsia="Times New Roman" w:hAnsi="Times New Roman" w:cs="Times New Roman"/>
          <w:sz w:val="20"/>
          <w:szCs w:val="20"/>
          <w:shd w:val="clear" w:color="auto" w:fill="FFFFFF"/>
        </w:rPr>
        <w:t>&gt;</w:t>
      </w:r>
      <w:r w:rsidRPr="00273E9E">
        <w:rPr>
          <w:rFonts w:ascii="Times New Roman" w:eastAsia="Times New Roman" w:hAnsi="Times New Roman" w:cs="Times New Roman"/>
          <w:color w:val="000000" w:themeColor="text1"/>
          <w:sz w:val="20"/>
          <w:szCs w:val="20"/>
          <w:shd w:val="clear" w:color="auto" w:fill="FFFFFF"/>
        </w:rPr>
        <w:t> </w:t>
      </w:r>
      <w:r w:rsidR="00843343" w:rsidRPr="00273E9E">
        <w:rPr>
          <w:rFonts w:ascii="Times New Roman" w:eastAsia="Times New Roman" w:hAnsi="Times New Roman" w:cs="Times New Roman"/>
          <w:color w:val="000000" w:themeColor="text1"/>
          <w:sz w:val="20"/>
          <w:szCs w:val="20"/>
          <w:shd w:val="clear" w:color="auto" w:fill="FFFFFF"/>
        </w:rPr>
        <w:t>A</w:t>
      </w:r>
      <w:r w:rsidRPr="00273E9E">
        <w:rPr>
          <w:rFonts w:ascii="Times New Roman" w:eastAsia="Times New Roman" w:hAnsi="Times New Roman" w:cs="Times New Roman"/>
          <w:color w:val="000000" w:themeColor="text1"/>
          <w:sz w:val="20"/>
          <w:szCs w:val="20"/>
          <w:shd w:val="clear" w:color="auto" w:fill="FFFFFF"/>
        </w:rPr>
        <w:t>ccessed on 3 December 2020. </w:t>
      </w:r>
    </w:p>
  </w:footnote>
  <w:footnote w:id="68">
    <w:p w14:paraId="19CE3E59" w14:textId="03A6A51D"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273E9E">
        <w:rPr>
          <w:rStyle w:val="FootnoteReference"/>
          <w:rFonts w:ascii="Times New Roman" w:hAnsi="Times New Roman" w:cs="Times New Roman"/>
          <w:color w:val="000000" w:themeColor="text1"/>
          <w:sz w:val="20"/>
          <w:szCs w:val="20"/>
        </w:rPr>
        <w:footnoteRef/>
      </w:r>
      <w:r w:rsidRPr="00273E9E">
        <w:rPr>
          <w:rFonts w:ascii="Times New Roman" w:hAnsi="Times New Roman" w:cs="Times New Roman"/>
          <w:color w:val="000000" w:themeColor="text1"/>
          <w:sz w:val="20"/>
          <w:szCs w:val="20"/>
        </w:rPr>
        <w:t xml:space="preserve"> J</w:t>
      </w:r>
      <w:r w:rsidRPr="00273E9E">
        <w:rPr>
          <w:rFonts w:ascii="Times New Roman" w:eastAsia="Times New Roman" w:hAnsi="Times New Roman" w:cs="Times New Roman"/>
          <w:color w:val="000000" w:themeColor="text1"/>
          <w:sz w:val="20"/>
          <w:szCs w:val="20"/>
          <w:shd w:val="clear" w:color="auto" w:fill="FFFFFF"/>
        </w:rPr>
        <w:t> </w:t>
      </w:r>
      <w:proofErr w:type="spellStart"/>
      <w:r w:rsidRPr="00273E9E">
        <w:rPr>
          <w:rFonts w:ascii="Times New Roman" w:eastAsia="Times New Roman" w:hAnsi="Times New Roman" w:cs="Times New Roman"/>
          <w:color w:val="000000" w:themeColor="text1"/>
          <w:sz w:val="20"/>
          <w:szCs w:val="20"/>
          <w:shd w:val="clear" w:color="auto" w:fill="FFFFFF"/>
        </w:rPr>
        <w:t>Richters</w:t>
      </w:r>
      <w:proofErr w:type="spellEnd"/>
      <w:r w:rsidRPr="00273E9E">
        <w:rPr>
          <w:rFonts w:ascii="Times New Roman" w:eastAsia="Times New Roman" w:hAnsi="Times New Roman" w:cs="Times New Roman"/>
          <w:color w:val="000000" w:themeColor="text1"/>
          <w:sz w:val="20"/>
          <w:szCs w:val="20"/>
          <w:shd w:val="clear" w:color="auto" w:fill="FFFFFF"/>
        </w:rPr>
        <w:t xml:space="preserve">, RO De Visser, CE </w:t>
      </w:r>
      <w:proofErr w:type="spellStart"/>
      <w:r w:rsidRPr="00273E9E">
        <w:rPr>
          <w:rFonts w:ascii="Times New Roman" w:eastAsia="Times New Roman" w:hAnsi="Times New Roman" w:cs="Times New Roman"/>
          <w:color w:val="000000" w:themeColor="text1"/>
          <w:sz w:val="20"/>
          <w:szCs w:val="20"/>
          <w:shd w:val="clear" w:color="auto" w:fill="FFFFFF"/>
        </w:rPr>
        <w:t>Rissel</w:t>
      </w:r>
      <w:proofErr w:type="spellEnd"/>
      <w:r w:rsidRPr="00273E9E">
        <w:rPr>
          <w:rFonts w:ascii="Times New Roman" w:eastAsia="Times New Roman" w:hAnsi="Times New Roman" w:cs="Times New Roman"/>
          <w:color w:val="000000" w:themeColor="text1"/>
          <w:sz w:val="20"/>
          <w:szCs w:val="20"/>
          <w:shd w:val="clear" w:color="auto" w:fill="FFFFFF"/>
        </w:rPr>
        <w:t xml:space="preserve">, AE </w:t>
      </w:r>
      <w:proofErr w:type="spellStart"/>
      <w:r w:rsidRPr="00273E9E">
        <w:rPr>
          <w:rFonts w:ascii="Times New Roman" w:eastAsia="Times New Roman" w:hAnsi="Times New Roman" w:cs="Times New Roman"/>
          <w:color w:val="000000" w:themeColor="text1"/>
          <w:sz w:val="20"/>
          <w:szCs w:val="20"/>
          <w:shd w:val="clear" w:color="auto" w:fill="FFFFFF"/>
        </w:rPr>
        <w:t>Grulich</w:t>
      </w:r>
      <w:proofErr w:type="spellEnd"/>
      <w:r w:rsidRPr="00273E9E">
        <w:rPr>
          <w:rFonts w:ascii="Times New Roman" w:eastAsia="Times New Roman" w:hAnsi="Times New Roman" w:cs="Times New Roman"/>
          <w:color w:val="000000" w:themeColor="text1"/>
          <w:sz w:val="20"/>
          <w:szCs w:val="20"/>
          <w:shd w:val="clear" w:color="auto" w:fill="FFFFFF"/>
        </w:rPr>
        <w:t xml:space="preserve"> and AMA Smith, ‘Demographic and Psychosocial Features of Participants in Bondage and Discipline, Sadomasochism and Submission (BDSM): Date from a National Survey’ (2008) 5(7) Journal of Sexual Medicine 1660</w:t>
      </w:r>
      <w:r w:rsidR="00273E9E" w:rsidRPr="00273E9E">
        <w:rPr>
          <w:rFonts w:ascii="Times New Roman" w:eastAsia="Times New Roman" w:hAnsi="Times New Roman" w:cs="Times New Roman"/>
          <w:color w:val="000000" w:themeColor="text1"/>
          <w:sz w:val="20"/>
          <w:szCs w:val="20"/>
          <w:shd w:val="clear" w:color="auto" w:fill="FFFFFF"/>
        </w:rPr>
        <w:t>-1668</w:t>
      </w:r>
      <w:r w:rsidRPr="00273E9E">
        <w:rPr>
          <w:rFonts w:ascii="Times New Roman" w:eastAsia="Times New Roman" w:hAnsi="Times New Roman" w:cs="Times New Roman"/>
          <w:color w:val="000000" w:themeColor="text1"/>
          <w:sz w:val="20"/>
          <w:szCs w:val="20"/>
          <w:shd w:val="clear" w:color="auto" w:fill="FFFFFF"/>
        </w:rPr>
        <w:t>; A Brown, E</w:t>
      </w:r>
      <w:r w:rsidR="00273E9E" w:rsidRPr="00273E9E">
        <w:rPr>
          <w:rFonts w:ascii="Times New Roman" w:eastAsia="Times New Roman" w:hAnsi="Times New Roman" w:cs="Times New Roman"/>
          <w:color w:val="000000" w:themeColor="text1"/>
          <w:sz w:val="20"/>
          <w:szCs w:val="20"/>
          <w:shd w:val="clear" w:color="auto" w:fill="FFFFFF"/>
        </w:rPr>
        <w:t>.D</w:t>
      </w:r>
      <w:r w:rsidRPr="00273E9E">
        <w:rPr>
          <w:rFonts w:ascii="Times New Roman" w:eastAsia="Times New Roman" w:hAnsi="Times New Roman" w:cs="Times New Roman"/>
          <w:color w:val="000000" w:themeColor="text1"/>
          <w:sz w:val="20"/>
          <w:szCs w:val="20"/>
          <w:shd w:val="clear" w:color="auto" w:fill="FFFFFF"/>
        </w:rPr>
        <w:t xml:space="preserve"> Barker and Q Rahman, ‘A Systematic Scoping Review of the Prevalence, Etiological, Psychological, and Interpersonal Factors Associated with BDSM’</w:t>
      </w:r>
      <w:r w:rsidR="00273E9E" w:rsidRPr="00273E9E">
        <w:rPr>
          <w:rFonts w:ascii="Times New Roman" w:eastAsia="Times New Roman" w:hAnsi="Times New Roman" w:cs="Times New Roman"/>
          <w:color w:val="000000" w:themeColor="text1"/>
          <w:sz w:val="20"/>
          <w:szCs w:val="20"/>
          <w:shd w:val="clear" w:color="auto" w:fill="FFFFFF"/>
        </w:rPr>
        <w:t xml:space="preserve"> (2020) 57(6) </w:t>
      </w:r>
      <w:r w:rsidR="00273E9E" w:rsidRPr="00273E9E">
        <w:rPr>
          <w:rFonts w:ascii="Times New Roman" w:eastAsia="Times New Roman" w:hAnsi="Times New Roman" w:cs="Times New Roman"/>
          <w:i/>
          <w:iCs/>
          <w:color w:val="000000" w:themeColor="text1"/>
          <w:sz w:val="20"/>
          <w:szCs w:val="20"/>
          <w:shd w:val="clear" w:color="auto" w:fill="FFFFFF"/>
        </w:rPr>
        <w:t xml:space="preserve">The Journal of Sex Research </w:t>
      </w:r>
      <w:r w:rsidR="00273E9E" w:rsidRPr="00273E9E">
        <w:rPr>
          <w:rFonts w:ascii="Times New Roman" w:eastAsia="Times New Roman" w:hAnsi="Times New Roman" w:cs="Times New Roman"/>
          <w:color w:val="000000" w:themeColor="text1"/>
          <w:sz w:val="20"/>
          <w:szCs w:val="20"/>
          <w:shd w:val="clear" w:color="auto" w:fill="FFFFFF"/>
        </w:rPr>
        <w:t>781-811;</w:t>
      </w:r>
      <w:r w:rsidR="00273E9E">
        <w:rPr>
          <w:rFonts w:ascii="Times New Roman" w:eastAsia="Times New Roman" w:hAnsi="Times New Roman" w:cs="Times New Roman"/>
          <w:color w:val="000000" w:themeColor="text1"/>
          <w:sz w:val="20"/>
          <w:szCs w:val="20"/>
          <w:shd w:val="clear" w:color="auto" w:fill="FFFFFF"/>
        </w:rPr>
        <w:t xml:space="preserve"> ‘Women are being strangled, chocked, slapped and spat on during sex – we need to stop pretending this is normal’, The Telegraph (</w:t>
      </w:r>
      <w:r w:rsidR="00000C2B">
        <w:rPr>
          <w:rFonts w:ascii="Times New Roman" w:eastAsia="Times New Roman" w:hAnsi="Times New Roman" w:cs="Times New Roman"/>
          <w:color w:val="000000" w:themeColor="text1"/>
          <w:sz w:val="20"/>
          <w:szCs w:val="20"/>
          <w:shd w:val="clear" w:color="auto" w:fill="FFFFFF"/>
        </w:rPr>
        <w:t xml:space="preserve">London, </w:t>
      </w:r>
      <w:r w:rsidR="00273E9E">
        <w:rPr>
          <w:rFonts w:ascii="Times New Roman" w:eastAsia="Times New Roman" w:hAnsi="Times New Roman" w:cs="Times New Roman"/>
          <w:color w:val="000000" w:themeColor="text1"/>
          <w:sz w:val="20"/>
          <w:szCs w:val="20"/>
          <w:shd w:val="clear" w:color="auto" w:fill="FFFFFF"/>
        </w:rPr>
        <w:t>3 March 2020) &lt;</w:t>
      </w:r>
      <w:hyperlink w:history="1">
        <w:r w:rsidR="00273E9E" w:rsidRPr="00386E21">
          <w:rPr>
            <w:rStyle w:val="Hyperlink"/>
            <w:rFonts w:ascii="Times New Roman" w:eastAsia="Times New Roman" w:hAnsi="Times New Roman" w:cs="Times New Roman"/>
            <w:sz w:val="20"/>
            <w:szCs w:val="20"/>
            <w:shd w:val="clear" w:color="auto" w:fill="FFFFFF"/>
          </w:rPr>
          <w:t>https://www. telegraph.co.uk/women/life/women-strangledchoked-slapped-spat-sex-need-stop-pretending/</w:t>
        </w:r>
      </w:hyperlink>
      <w:r w:rsidR="00273E9E">
        <w:rPr>
          <w:rFonts w:ascii="Times New Roman" w:eastAsia="Times New Roman" w:hAnsi="Times New Roman" w:cs="Times New Roman"/>
          <w:color w:val="000000" w:themeColor="text1"/>
          <w:sz w:val="20"/>
          <w:szCs w:val="20"/>
          <w:shd w:val="clear" w:color="auto" w:fill="FFFFFF"/>
        </w:rPr>
        <w:t xml:space="preserve">&gt; Accessed on 9 December 2020. </w:t>
      </w:r>
    </w:p>
  </w:footnote>
  <w:footnote w:id="69">
    <w:p w14:paraId="183AADA2" w14:textId="2FA1D888" w:rsidR="00EE36C7" w:rsidRPr="008E464A" w:rsidRDefault="00EE36C7" w:rsidP="00EE36C7">
      <w:pPr>
        <w:pStyle w:val="FootnoteText"/>
        <w:jc w:val="both"/>
        <w:rPr>
          <w:rFonts w:ascii="Times New Roman" w:hAnsi="Times New Roman" w:cs="Times New Roman"/>
          <w:highlight w:val="green"/>
        </w:rPr>
      </w:pPr>
      <w:r w:rsidRPr="00B2051F">
        <w:rPr>
          <w:rStyle w:val="FootnoteReference"/>
          <w:rFonts w:ascii="Times New Roman" w:hAnsi="Times New Roman" w:cs="Times New Roman"/>
          <w:color w:val="000000" w:themeColor="text1"/>
        </w:rPr>
        <w:footnoteRef/>
      </w:r>
      <w:r w:rsidRPr="00B2051F">
        <w:rPr>
          <w:rFonts w:ascii="Times New Roman" w:hAnsi="Times New Roman" w:cs="Times New Roman"/>
          <w:color w:val="000000" w:themeColor="text1"/>
        </w:rPr>
        <w:t xml:space="preserve"> </w:t>
      </w:r>
      <w:r w:rsidRPr="00B2051F">
        <w:rPr>
          <w:rFonts w:ascii="Times New Roman" w:hAnsi="Times New Roman" w:cs="Times New Roman"/>
        </w:rPr>
        <w:t xml:space="preserve">G </w:t>
      </w:r>
      <w:proofErr w:type="spellStart"/>
      <w:r w:rsidRPr="00B2051F">
        <w:rPr>
          <w:rFonts w:ascii="Times New Roman" w:hAnsi="Times New Roman" w:cs="Times New Roman"/>
        </w:rPr>
        <w:t>Bohner</w:t>
      </w:r>
      <w:proofErr w:type="spellEnd"/>
      <w:r w:rsidRPr="00B2051F">
        <w:rPr>
          <w:rFonts w:ascii="Times New Roman" w:hAnsi="Times New Roman" w:cs="Times New Roman"/>
        </w:rPr>
        <w:t xml:space="preserve">, F Eyssel, A Pina, F </w:t>
      </w:r>
      <w:proofErr w:type="spellStart"/>
      <w:r w:rsidRPr="00B2051F">
        <w:rPr>
          <w:rFonts w:ascii="Times New Roman" w:hAnsi="Times New Roman" w:cs="Times New Roman"/>
        </w:rPr>
        <w:t>Siebler</w:t>
      </w:r>
      <w:proofErr w:type="spellEnd"/>
      <w:r w:rsidRPr="00B2051F">
        <w:rPr>
          <w:rFonts w:ascii="Times New Roman" w:hAnsi="Times New Roman" w:cs="Times New Roman"/>
        </w:rPr>
        <w:t xml:space="preserve"> and GT Viki, ‘Rape Myth Acceptance: Cognitive, Affective and Behavioural Effects of Beliefs that Blame the Victim and Exonerate the Perpetrator’ in M Horvath and J Brown (eds), </w:t>
      </w:r>
      <w:r w:rsidRPr="00B2051F">
        <w:rPr>
          <w:rFonts w:ascii="Times New Roman" w:hAnsi="Times New Roman" w:cs="Times New Roman"/>
          <w:i/>
          <w:iCs/>
        </w:rPr>
        <w:t>Rape: Challenging Contemporary Thinking</w:t>
      </w:r>
      <w:r w:rsidRPr="00B2051F">
        <w:rPr>
          <w:rFonts w:ascii="Times New Roman" w:hAnsi="Times New Roman" w:cs="Times New Roman"/>
        </w:rPr>
        <w:t xml:space="preserve"> (Willan 2009) 17, 18;</w:t>
      </w:r>
      <w:r w:rsidRPr="00B2051F">
        <w:rPr>
          <w:rFonts w:ascii="Times New Roman" w:eastAsia="Times New Roman" w:hAnsi="Times New Roman" w:cs="Times New Roman"/>
          <w:color w:val="000000" w:themeColor="text1"/>
          <w:shd w:val="clear" w:color="auto" w:fill="FFFFFF"/>
        </w:rPr>
        <w:t> Edwards (n 6</w:t>
      </w:r>
      <w:r w:rsidR="00843343" w:rsidRPr="00B2051F">
        <w:rPr>
          <w:rFonts w:ascii="Times New Roman" w:eastAsia="Times New Roman" w:hAnsi="Times New Roman" w:cs="Times New Roman"/>
          <w:color w:val="000000" w:themeColor="text1"/>
          <w:shd w:val="clear" w:color="auto" w:fill="FFFFFF"/>
        </w:rPr>
        <w:t>5</w:t>
      </w:r>
      <w:r w:rsidRPr="00B2051F">
        <w:rPr>
          <w:rFonts w:ascii="Times New Roman" w:eastAsia="Times New Roman" w:hAnsi="Times New Roman" w:cs="Times New Roman"/>
          <w:color w:val="000000" w:themeColor="text1"/>
          <w:shd w:val="clear" w:color="auto" w:fill="FFFFFF"/>
        </w:rPr>
        <w:t>) 88; JM Gray and MH Horvath, ‘Rape Myths in the Criminal Justice System’ in E Milne, K Brennan, N South and J Turton (eds), </w:t>
      </w:r>
      <w:r w:rsidRPr="00B2051F">
        <w:rPr>
          <w:rFonts w:ascii="Times New Roman" w:eastAsia="Times New Roman" w:hAnsi="Times New Roman" w:cs="Times New Roman"/>
          <w:i/>
          <w:iCs/>
          <w:color w:val="000000" w:themeColor="text1"/>
          <w:shd w:val="clear" w:color="auto" w:fill="FFFFFF"/>
        </w:rPr>
        <w:t>Women and the Criminal Justice System: Failing Victims and Offenders</w:t>
      </w:r>
      <w:r w:rsidRPr="00B2051F">
        <w:rPr>
          <w:rFonts w:ascii="Times New Roman" w:eastAsia="Times New Roman" w:hAnsi="Times New Roman" w:cs="Times New Roman"/>
          <w:color w:val="000000" w:themeColor="text1"/>
          <w:shd w:val="clear" w:color="auto" w:fill="FFFFFF"/>
        </w:rPr>
        <w:t> (Palgrave Macmillan 2018) 15. </w:t>
      </w:r>
    </w:p>
  </w:footnote>
  <w:footnote w:id="70">
    <w:p w14:paraId="1E23D667" w14:textId="349D24A8"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FD230F">
        <w:rPr>
          <w:rStyle w:val="FootnoteReference"/>
          <w:rFonts w:ascii="Times New Roman" w:hAnsi="Times New Roman" w:cs="Times New Roman"/>
          <w:color w:val="000000" w:themeColor="text1"/>
          <w:sz w:val="20"/>
          <w:szCs w:val="20"/>
        </w:rPr>
        <w:footnoteRef/>
      </w:r>
      <w:r w:rsidRPr="00FD230F">
        <w:rPr>
          <w:rFonts w:ascii="Times New Roman" w:hAnsi="Times New Roman" w:cs="Times New Roman"/>
          <w:color w:val="000000" w:themeColor="text1"/>
          <w:sz w:val="20"/>
          <w:szCs w:val="20"/>
        </w:rPr>
        <w:t xml:space="preserve"> </w:t>
      </w:r>
      <w:r w:rsidRPr="00FD230F">
        <w:rPr>
          <w:rFonts w:ascii="Times New Roman" w:eastAsia="Times New Roman" w:hAnsi="Times New Roman" w:cs="Times New Roman"/>
          <w:color w:val="000000" w:themeColor="text1"/>
          <w:sz w:val="20"/>
          <w:szCs w:val="20"/>
          <w:shd w:val="clear" w:color="auto" w:fill="FFFFFF"/>
        </w:rPr>
        <w:t>Criminal Law Act (Northern Ireland) 1967, s 6(4)(a); Edwards (n 21)</w:t>
      </w:r>
      <w:r w:rsidR="00FD230F" w:rsidRPr="00FD230F">
        <w:rPr>
          <w:rFonts w:ascii="Times New Roman" w:eastAsia="Times New Roman" w:hAnsi="Times New Roman" w:cs="Times New Roman"/>
          <w:color w:val="000000" w:themeColor="text1"/>
          <w:sz w:val="20"/>
          <w:szCs w:val="20"/>
          <w:shd w:val="clear" w:color="auto" w:fill="FFFFFF"/>
        </w:rPr>
        <w:t>.</w:t>
      </w:r>
    </w:p>
  </w:footnote>
  <w:footnote w:id="71">
    <w:p w14:paraId="5FE4E9E2" w14:textId="32B4A981" w:rsidR="00EE36C7" w:rsidRPr="00A1267B" w:rsidRDefault="00EE36C7" w:rsidP="00EE36C7">
      <w:pPr>
        <w:jc w:val="both"/>
        <w:rPr>
          <w:rFonts w:ascii="Times New Roman" w:eastAsia="Times New Roman" w:hAnsi="Times New Roman" w:cs="Times New Roman"/>
          <w:color w:val="000000" w:themeColor="text1"/>
          <w:sz w:val="20"/>
          <w:szCs w:val="20"/>
        </w:rPr>
      </w:pPr>
      <w:r w:rsidRPr="00A1267B">
        <w:rPr>
          <w:rStyle w:val="FootnoteReference"/>
          <w:rFonts w:ascii="Times New Roman" w:hAnsi="Times New Roman" w:cs="Times New Roman"/>
          <w:color w:val="000000" w:themeColor="text1"/>
          <w:sz w:val="20"/>
          <w:szCs w:val="20"/>
        </w:rPr>
        <w:footnoteRef/>
      </w:r>
      <w:r w:rsidRPr="00A1267B">
        <w:rPr>
          <w:rFonts w:ascii="Times New Roman" w:hAnsi="Times New Roman" w:cs="Times New Roman"/>
          <w:color w:val="000000" w:themeColor="text1"/>
          <w:sz w:val="20"/>
          <w:szCs w:val="20"/>
        </w:rPr>
        <w:t xml:space="preserve"> </w:t>
      </w:r>
      <w:r w:rsidRPr="00A1267B">
        <w:rPr>
          <w:rFonts w:ascii="Times New Roman" w:eastAsia="Times New Roman" w:hAnsi="Times New Roman" w:cs="Times New Roman"/>
          <w:color w:val="000000" w:themeColor="text1"/>
          <w:sz w:val="20"/>
          <w:szCs w:val="20"/>
          <w:shd w:val="clear" w:color="auto" w:fill="FFFFFF"/>
        </w:rPr>
        <w:t>Edward</w:t>
      </w:r>
      <w:r w:rsidR="00843343" w:rsidRPr="00A1267B">
        <w:rPr>
          <w:rFonts w:ascii="Times New Roman" w:eastAsia="Times New Roman" w:hAnsi="Times New Roman" w:cs="Times New Roman"/>
          <w:color w:val="000000" w:themeColor="text1"/>
          <w:sz w:val="20"/>
          <w:szCs w:val="20"/>
          <w:shd w:val="clear" w:color="auto" w:fill="FFFFFF"/>
        </w:rPr>
        <w:t>s</w:t>
      </w:r>
      <w:r w:rsidRPr="00A1267B">
        <w:rPr>
          <w:rFonts w:ascii="Times New Roman" w:eastAsia="Times New Roman" w:hAnsi="Times New Roman" w:cs="Times New Roman"/>
          <w:color w:val="000000" w:themeColor="text1"/>
          <w:sz w:val="20"/>
          <w:szCs w:val="20"/>
          <w:shd w:val="clear" w:color="auto" w:fill="FFFFFF"/>
        </w:rPr>
        <w:t xml:space="preserve"> (n 21)</w:t>
      </w:r>
      <w:r w:rsidR="00843343" w:rsidRPr="00A1267B">
        <w:rPr>
          <w:rFonts w:ascii="Times New Roman" w:eastAsia="Times New Roman" w:hAnsi="Times New Roman" w:cs="Times New Roman"/>
          <w:color w:val="000000" w:themeColor="text1"/>
          <w:sz w:val="20"/>
          <w:szCs w:val="20"/>
          <w:shd w:val="clear" w:color="auto" w:fill="FFFFFF"/>
        </w:rPr>
        <w:t>;</w:t>
      </w:r>
      <w:r w:rsidRPr="00A1267B">
        <w:rPr>
          <w:rFonts w:ascii="Times New Roman" w:eastAsia="Times New Roman" w:hAnsi="Times New Roman" w:cs="Times New Roman"/>
          <w:color w:val="000000" w:themeColor="text1"/>
          <w:sz w:val="20"/>
          <w:szCs w:val="20"/>
          <w:shd w:val="clear" w:color="auto" w:fill="FFFFFF"/>
        </w:rPr>
        <w:t xml:space="preserve"> A Moore and C Khan, ‘The Fateful, Hateful Rise of Choking During Sex’ </w:t>
      </w:r>
      <w:r w:rsidRPr="00A1267B">
        <w:rPr>
          <w:rFonts w:ascii="Times New Roman" w:eastAsia="Times New Roman" w:hAnsi="Times New Roman" w:cs="Times New Roman"/>
          <w:i/>
          <w:iCs/>
          <w:color w:val="000000" w:themeColor="text1"/>
          <w:sz w:val="20"/>
          <w:szCs w:val="20"/>
          <w:shd w:val="clear" w:color="auto" w:fill="FFFFFF"/>
        </w:rPr>
        <w:t>The Guardian</w:t>
      </w:r>
      <w:r w:rsidRPr="00A1267B">
        <w:rPr>
          <w:rFonts w:ascii="Times New Roman" w:eastAsia="Times New Roman" w:hAnsi="Times New Roman" w:cs="Times New Roman"/>
          <w:color w:val="000000" w:themeColor="text1"/>
          <w:sz w:val="20"/>
          <w:szCs w:val="20"/>
          <w:shd w:val="clear" w:color="auto" w:fill="FFFFFF"/>
        </w:rPr>
        <w:t> (London, 25 July 2019) </w:t>
      </w:r>
      <w:r w:rsidR="00843343" w:rsidRPr="00A1267B">
        <w:rPr>
          <w:rFonts w:ascii="Times New Roman" w:eastAsia="Times New Roman" w:hAnsi="Times New Roman" w:cs="Times New Roman"/>
          <w:color w:val="000000" w:themeColor="text1"/>
          <w:sz w:val="20"/>
          <w:szCs w:val="20"/>
          <w:shd w:val="clear" w:color="auto" w:fill="FFFFFF"/>
        </w:rPr>
        <w:t>&lt;</w:t>
      </w:r>
      <w:hyperlink r:id="rId10" w:history="1">
        <w:r w:rsidR="00A1267B" w:rsidRPr="00A1267B">
          <w:rPr>
            <w:rStyle w:val="Hyperlink"/>
            <w:rFonts w:ascii="Times New Roman" w:eastAsia="Times New Roman" w:hAnsi="Times New Roman" w:cs="Times New Roman"/>
            <w:sz w:val="20"/>
            <w:szCs w:val="20"/>
            <w:shd w:val="clear" w:color="auto" w:fill="FFFFFF"/>
          </w:rPr>
          <w:t>https://www.theguardian.com/society/2019/jul/25/fatal-hateful-rise-of-choking-during-sex</w:t>
        </w:r>
      </w:hyperlink>
      <w:r w:rsidR="00A1267B" w:rsidRPr="00A1267B">
        <w:rPr>
          <w:rFonts w:ascii="Times New Roman" w:eastAsia="Times New Roman" w:hAnsi="Times New Roman" w:cs="Times New Roman"/>
          <w:color w:val="000000" w:themeColor="text1"/>
          <w:sz w:val="20"/>
          <w:szCs w:val="20"/>
          <w:shd w:val="clear" w:color="auto" w:fill="FFFFFF"/>
        </w:rPr>
        <w:t xml:space="preserve">&gt; </w:t>
      </w:r>
      <w:r w:rsidR="00843343" w:rsidRPr="00A1267B">
        <w:rPr>
          <w:rFonts w:ascii="Times New Roman" w:eastAsia="Times New Roman" w:hAnsi="Times New Roman" w:cs="Times New Roman"/>
          <w:color w:val="000000" w:themeColor="text1"/>
          <w:sz w:val="20"/>
          <w:szCs w:val="20"/>
          <w:shd w:val="clear" w:color="auto" w:fill="FFFFFF"/>
        </w:rPr>
        <w:t>A</w:t>
      </w:r>
      <w:r w:rsidRPr="00A1267B">
        <w:rPr>
          <w:rFonts w:ascii="Times New Roman" w:eastAsia="Times New Roman" w:hAnsi="Times New Roman" w:cs="Times New Roman"/>
          <w:color w:val="000000" w:themeColor="text1"/>
          <w:sz w:val="20"/>
          <w:szCs w:val="20"/>
          <w:shd w:val="clear" w:color="auto" w:fill="FFFFFF"/>
        </w:rPr>
        <w:t xml:space="preserve">ccessed </w:t>
      </w:r>
      <w:r w:rsidR="00843343" w:rsidRPr="00A1267B">
        <w:rPr>
          <w:rFonts w:ascii="Times New Roman" w:eastAsia="Times New Roman" w:hAnsi="Times New Roman" w:cs="Times New Roman"/>
          <w:color w:val="000000" w:themeColor="text1"/>
          <w:sz w:val="20"/>
          <w:szCs w:val="20"/>
          <w:shd w:val="clear" w:color="auto" w:fill="FFFFFF"/>
        </w:rPr>
        <w:t xml:space="preserve">on </w:t>
      </w:r>
      <w:r w:rsidRPr="00A1267B">
        <w:rPr>
          <w:rFonts w:ascii="Times New Roman" w:eastAsia="Times New Roman" w:hAnsi="Times New Roman" w:cs="Times New Roman"/>
          <w:color w:val="000000" w:themeColor="text1"/>
          <w:sz w:val="20"/>
          <w:szCs w:val="20"/>
          <w:shd w:val="clear" w:color="auto" w:fill="FFFFFF"/>
        </w:rPr>
        <w:t xml:space="preserve">3 December 2020; Bow and Herring (n 6) </w:t>
      </w:r>
      <w:r w:rsidR="00A1267B" w:rsidRPr="00A1267B">
        <w:rPr>
          <w:rFonts w:ascii="Times New Roman" w:eastAsia="Times New Roman" w:hAnsi="Times New Roman" w:cs="Times New Roman"/>
          <w:color w:val="000000" w:themeColor="text1"/>
          <w:sz w:val="20"/>
          <w:szCs w:val="20"/>
          <w:shd w:val="clear" w:color="auto" w:fill="FFFFFF"/>
        </w:rPr>
        <w:t>526.</w:t>
      </w:r>
    </w:p>
  </w:footnote>
  <w:footnote w:id="72">
    <w:p w14:paraId="6BED7357" w14:textId="286BA7F8" w:rsidR="00EE36C7" w:rsidRPr="00A1267B" w:rsidRDefault="00EE36C7" w:rsidP="00EE36C7">
      <w:pPr>
        <w:jc w:val="both"/>
        <w:rPr>
          <w:rFonts w:ascii="Times New Roman" w:eastAsia="Times New Roman" w:hAnsi="Times New Roman" w:cs="Times New Roman"/>
          <w:color w:val="000000" w:themeColor="text1"/>
          <w:sz w:val="20"/>
          <w:szCs w:val="20"/>
        </w:rPr>
      </w:pPr>
      <w:r w:rsidRPr="00A1267B">
        <w:rPr>
          <w:rStyle w:val="FootnoteReference"/>
          <w:rFonts w:ascii="Times New Roman" w:hAnsi="Times New Roman" w:cs="Times New Roman"/>
          <w:color w:val="000000" w:themeColor="text1"/>
          <w:sz w:val="20"/>
          <w:szCs w:val="20"/>
        </w:rPr>
        <w:footnoteRef/>
      </w:r>
      <w:r w:rsidRPr="00A1267B">
        <w:rPr>
          <w:rFonts w:ascii="Times New Roman" w:hAnsi="Times New Roman" w:cs="Times New Roman"/>
          <w:color w:val="000000" w:themeColor="text1"/>
          <w:sz w:val="20"/>
          <w:szCs w:val="20"/>
        </w:rPr>
        <w:t xml:space="preserve"> </w:t>
      </w:r>
      <w:r w:rsidRPr="00A1267B">
        <w:rPr>
          <w:rFonts w:ascii="Times New Roman" w:eastAsia="Times New Roman" w:hAnsi="Times New Roman" w:cs="Times New Roman"/>
          <w:color w:val="000000" w:themeColor="text1"/>
          <w:sz w:val="20"/>
          <w:szCs w:val="20"/>
          <w:shd w:val="clear" w:color="auto" w:fill="FFFFFF"/>
        </w:rPr>
        <w:t xml:space="preserve">Bows and Herring (n 6) </w:t>
      </w:r>
      <w:r w:rsidR="00A1267B" w:rsidRPr="00A1267B">
        <w:rPr>
          <w:rFonts w:ascii="Times New Roman" w:eastAsia="Times New Roman" w:hAnsi="Times New Roman" w:cs="Times New Roman"/>
          <w:color w:val="000000" w:themeColor="text1"/>
          <w:sz w:val="20"/>
          <w:szCs w:val="20"/>
          <w:shd w:val="clear" w:color="auto" w:fill="FFFFFF"/>
        </w:rPr>
        <w:t>528</w:t>
      </w:r>
      <w:r w:rsidRPr="00A1267B">
        <w:rPr>
          <w:rFonts w:ascii="Times New Roman" w:eastAsia="Times New Roman" w:hAnsi="Times New Roman" w:cs="Times New Roman"/>
          <w:color w:val="000000" w:themeColor="text1"/>
          <w:sz w:val="20"/>
          <w:szCs w:val="20"/>
          <w:shd w:val="clear" w:color="auto" w:fill="FFFFFF"/>
        </w:rPr>
        <w:t>. </w:t>
      </w:r>
    </w:p>
  </w:footnote>
  <w:footnote w:id="73">
    <w:p w14:paraId="70E4C965" w14:textId="4DB91F33" w:rsidR="00843343" w:rsidRPr="00A1267B" w:rsidRDefault="00843343">
      <w:pPr>
        <w:pStyle w:val="FootnoteText"/>
      </w:pPr>
      <w:r w:rsidRPr="00A1267B">
        <w:rPr>
          <w:rStyle w:val="FootnoteReference"/>
          <w:rFonts w:ascii="Times New Roman" w:hAnsi="Times New Roman" w:cs="Times New Roman"/>
        </w:rPr>
        <w:footnoteRef/>
      </w:r>
      <w:r w:rsidRPr="00A1267B">
        <w:rPr>
          <w:rFonts w:ascii="Times New Roman" w:hAnsi="Times New Roman" w:cs="Times New Roman"/>
        </w:rPr>
        <w:t xml:space="preserve"> </w:t>
      </w:r>
      <w:r w:rsidRPr="00A1267B">
        <w:rPr>
          <w:rFonts w:ascii="Times New Roman" w:eastAsia="Times New Roman" w:hAnsi="Times New Roman" w:cs="Times New Roman"/>
          <w:i/>
          <w:iCs/>
          <w:color w:val="000000" w:themeColor="text1"/>
          <w:shd w:val="clear" w:color="auto" w:fill="FFFFFF"/>
        </w:rPr>
        <w:t>Brown</w:t>
      </w:r>
      <w:r w:rsidRPr="00A1267B">
        <w:rPr>
          <w:rFonts w:ascii="Times New Roman" w:eastAsia="Times New Roman" w:hAnsi="Times New Roman" w:cs="Times New Roman"/>
          <w:color w:val="000000" w:themeColor="text1"/>
          <w:shd w:val="clear" w:color="auto" w:fill="FFFFFF"/>
        </w:rPr>
        <w:t xml:space="preserve"> (n 2); Bows and Herring (n 6) </w:t>
      </w:r>
      <w:r w:rsidR="00A1267B" w:rsidRPr="00A1267B">
        <w:rPr>
          <w:rFonts w:ascii="Times New Roman" w:eastAsia="Times New Roman" w:hAnsi="Times New Roman" w:cs="Times New Roman"/>
          <w:color w:val="000000" w:themeColor="text1"/>
          <w:shd w:val="clear" w:color="auto" w:fill="FFFFFF"/>
        </w:rPr>
        <w:t>529</w:t>
      </w:r>
      <w:r w:rsidRPr="00A1267B">
        <w:rPr>
          <w:rFonts w:ascii="Times New Roman" w:eastAsia="Times New Roman" w:hAnsi="Times New Roman" w:cs="Times New Roman"/>
          <w:color w:val="000000" w:themeColor="text1"/>
          <w:shd w:val="clear" w:color="auto" w:fill="FFFFFF"/>
        </w:rPr>
        <w:t>. </w:t>
      </w:r>
    </w:p>
  </w:footnote>
  <w:footnote w:id="74">
    <w:p w14:paraId="29DD207B" w14:textId="6BB797F9" w:rsidR="00EE36C7" w:rsidRPr="004F5C55" w:rsidRDefault="00EE36C7" w:rsidP="00EE36C7">
      <w:pPr>
        <w:jc w:val="both"/>
        <w:rPr>
          <w:rFonts w:ascii="Times New Roman" w:eastAsia="Times New Roman" w:hAnsi="Times New Roman" w:cs="Times New Roman"/>
          <w:color w:val="000000" w:themeColor="text1"/>
          <w:sz w:val="20"/>
          <w:szCs w:val="20"/>
        </w:rPr>
      </w:pPr>
      <w:r w:rsidRPr="004F5C55">
        <w:rPr>
          <w:rStyle w:val="FootnoteReference"/>
          <w:rFonts w:ascii="Times New Roman" w:hAnsi="Times New Roman" w:cs="Times New Roman"/>
          <w:color w:val="000000" w:themeColor="text1"/>
          <w:sz w:val="20"/>
          <w:szCs w:val="20"/>
        </w:rPr>
        <w:footnoteRef/>
      </w:r>
      <w:r w:rsidRPr="004F5C55">
        <w:rPr>
          <w:rFonts w:ascii="Times New Roman" w:hAnsi="Times New Roman" w:cs="Times New Roman"/>
          <w:color w:val="000000" w:themeColor="text1"/>
          <w:sz w:val="20"/>
          <w:szCs w:val="20"/>
        </w:rPr>
        <w:t xml:space="preserve"> K </w:t>
      </w:r>
      <w:r w:rsidRPr="004F5C55">
        <w:rPr>
          <w:rFonts w:ascii="Times New Roman" w:eastAsia="Times New Roman" w:hAnsi="Times New Roman" w:cs="Times New Roman"/>
          <w:color w:val="000000" w:themeColor="text1"/>
          <w:sz w:val="20"/>
          <w:szCs w:val="20"/>
        </w:rPr>
        <w:t>Busby, ‘Every Breath You Take: Erotic Asphyxiation, Vengeful Wives, and Other Enduring Myths in Spousal Sexual Assault Prosecutions’ (2012) 24(2) Canadian Journal of Women and Law 328</w:t>
      </w:r>
      <w:r w:rsidR="004F5C55" w:rsidRPr="004F5C55">
        <w:rPr>
          <w:rFonts w:ascii="Times New Roman" w:eastAsia="Times New Roman" w:hAnsi="Times New Roman" w:cs="Times New Roman"/>
          <w:color w:val="000000" w:themeColor="text1"/>
          <w:sz w:val="20"/>
          <w:szCs w:val="20"/>
        </w:rPr>
        <w:t>, 346</w:t>
      </w:r>
      <w:r w:rsidR="004F5C55">
        <w:rPr>
          <w:rFonts w:ascii="Times New Roman" w:eastAsia="Times New Roman" w:hAnsi="Times New Roman" w:cs="Times New Roman"/>
          <w:color w:val="000000" w:themeColor="text1"/>
          <w:sz w:val="20"/>
          <w:szCs w:val="20"/>
        </w:rPr>
        <w:t>.</w:t>
      </w:r>
    </w:p>
  </w:footnote>
  <w:footnote w:id="75">
    <w:p w14:paraId="2333E0CF" w14:textId="01F06B00"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4F5C55">
        <w:rPr>
          <w:rStyle w:val="FootnoteReference"/>
          <w:rFonts w:ascii="Times New Roman" w:hAnsi="Times New Roman" w:cs="Times New Roman"/>
          <w:color w:val="000000" w:themeColor="text1"/>
          <w:sz w:val="20"/>
          <w:szCs w:val="20"/>
        </w:rPr>
        <w:footnoteRef/>
      </w:r>
      <w:r w:rsidRPr="004F5C55">
        <w:rPr>
          <w:rFonts w:ascii="Times New Roman" w:hAnsi="Times New Roman" w:cs="Times New Roman"/>
          <w:color w:val="000000" w:themeColor="text1"/>
          <w:sz w:val="20"/>
          <w:szCs w:val="20"/>
        </w:rPr>
        <w:t xml:space="preserve"> Ibid</w:t>
      </w:r>
      <w:r w:rsidR="004F5C55">
        <w:rPr>
          <w:rFonts w:ascii="Times New Roman" w:hAnsi="Times New Roman" w:cs="Times New Roman"/>
          <w:color w:val="000000" w:themeColor="text1"/>
          <w:sz w:val="20"/>
          <w:szCs w:val="20"/>
        </w:rPr>
        <w:t xml:space="preserve">, </w:t>
      </w:r>
      <w:r w:rsidR="002470A5">
        <w:rPr>
          <w:rFonts w:ascii="Times New Roman" w:hAnsi="Times New Roman" w:cs="Times New Roman"/>
          <w:color w:val="000000" w:themeColor="text1"/>
          <w:sz w:val="20"/>
          <w:szCs w:val="20"/>
        </w:rPr>
        <w:t>352.</w:t>
      </w:r>
    </w:p>
  </w:footnote>
  <w:footnote w:id="76">
    <w:p w14:paraId="18441BAD" w14:textId="77777777" w:rsidR="00EE36C7" w:rsidRPr="003300DC" w:rsidRDefault="00EE36C7" w:rsidP="00EE36C7">
      <w:pPr>
        <w:pStyle w:val="FootnoteText"/>
        <w:jc w:val="both"/>
        <w:rPr>
          <w:rFonts w:ascii="Times New Roman" w:hAnsi="Times New Roman" w:cs="Times New Roman"/>
        </w:rPr>
      </w:pPr>
      <w:r w:rsidRPr="003300DC">
        <w:rPr>
          <w:rStyle w:val="FootnoteReference"/>
          <w:rFonts w:ascii="Times New Roman" w:hAnsi="Times New Roman" w:cs="Times New Roman"/>
        </w:rPr>
        <w:footnoteRef/>
      </w:r>
      <w:r w:rsidRPr="003300DC">
        <w:rPr>
          <w:rFonts w:ascii="Times New Roman" w:hAnsi="Times New Roman" w:cs="Times New Roman"/>
        </w:rPr>
        <w:t xml:space="preserve"> </w:t>
      </w:r>
      <w:r w:rsidRPr="003300DC">
        <w:rPr>
          <w:rFonts w:ascii="Times New Roman" w:eastAsia="Times New Roman" w:hAnsi="Times New Roman" w:cs="Times New Roman"/>
          <w:color w:val="000000" w:themeColor="text1"/>
          <w:shd w:val="clear" w:color="auto" w:fill="FFFFFF"/>
        </w:rPr>
        <w:t>S </w:t>
      </w:r>
      <w:proofErr w:type="spellStart"/>
      <w:r w:rsidRPr="003300DC">
        <w:rPr>
          <w:rFonts w:ascii="Times New Roman" w:eastAsia="Times New Roman" w:hAnsi="Times New Roman" w:cs="Times New Roman"/>
          <w:color w:val="000000" w:themeColor="text1"/>
          <w:shd w:val="clear" w:color="auto" w:fill="FFFFFF"/>
        </w:rPr>
        <w:t>Newmahr</w:t>
      </w:r>
      <w:proofErr w:type="spellEnd"/>
      <w:r w:rsidRPr="003300DC">
        <w:rPr>
          <w:rFonts w:ascii="Times New Roman" w:eastAsia="Times New Roman" w:hAnsi="Times New Roman" w:cs="Times New Roman"/>
          <w:color w:val="000000" w:themeColor="text1"/>
          <w:shd w:val="clear" w:color="auto" w:fill="FFFFFF"/>
        </w:rPr>
        <w:t>, </w:t>
      </w:r>
      <w:r w:rsidRPr="003300DC">
        <w:rPr>
          <w:rFonts w:ascii="Times New Roman" w:eastAsia="Times New Roman" w:hAnsi="Times New Roman" w:cs="Times New Roman"/>
          <w:i/>
          <w:iCs/>
          <w:color w:val="000000" w:themeColor="text1"/>
          <w:shd w:val="clear" w:color="auto" w:fill="FFFFFF"/>
        </w:rPr>
        <w:t>Playing on the Edge: Sadomasochism, Risk and Intimacy</w:t>
      </w:r>
      <w:r w:rsidRPr="003300DC">
        <w:rPr>
          <w:rFonts w:ascii="Times New Roman" w:eastAsia="Times New Roman" w:hAnsi="Times New Roman" w:cs="Times New Roman"/>
          <w:color w:val="000000" w:themeColor="text1"/>
          <w:shd w:val="clear" w:color="auto" w:fill="FFFFFF"/>
        </w:rPr>
        <w:t> (Indiana University Press 2011) 147. </w:t>
      </w:r>
    </w:p>
  </w:footnote>
  <w:footnote w:id="77">
    <w:p w14:paraId="07E6715A" w14:textId="77777777"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3300DC">
        <w:rPr>
          <w:rStyle w:val="FootnoteReference"/>
          <w:rFonts w:ascii="Times New Roman" w:hAnsi="Times New Roman" w:cs="Times New Roman"/>
          <w:color w:val="000000" w:themeColor="text1"/>
          <w:sz w:val="20"/>
          <w:szCs w:val="20"/>
        </w:rPr>
        <w:footnoteRef/>
      </w:r>
      <w:r w:rsidRPr="003300DC">
        <w:rPr>
          <w:rFonts w:ascii="Times New Roman" w:eastAsia="Times New Roman" w:hAnsi="Times New Roman" w:cs="Times New Roman"/>
          <w:color w:val="000000" w:themeColor="text1"/>
          <w:sz w:val="20"/>
          <w:szCs w:val="20"/>
          <w:shd w:val="clear" w:color="auto" w:fill="FFFFFF"/>
        </w:rPr>
        <w:t> M Weiss, </w:t>
      </w:r>
      <w:r w:rsidRPr="003300DC">
        <w:rPr>
          <w:rFonts w:ascii="Times New Roman" w:eastAsia="Times New Roman" w:hAnsi="Times New Roman" w:cs="Times New Roman"/>
          <w:i/>
          <w:iCs/>
          <w:color w:val="000000" w:themeColor="text1"/>
          <w:sz w:val="20"/>
          <w:szCs w:val="20"/>
          <w:shd w:val="clear" w:color="auto" w:fill="FFFFFF"/>
        </w:rPr>
        <w:t>Techniques of Pleasure: BDSM and the Circuits of Sexuality</w:t>
      </w:r>
      <w:r w:rsidRPr="003300DC">
        <w:rPr>
          <w:rFonts w:ascii="Times New Roman" w:eastAsia="Times New Roman" w:hAnsi="Times New Roman" w:cs="Times New Roman"/>
          <w:color w:val="000000" w:themeColor="text1"/>
          <w:sz w:val="20"/>
          <w:szCs w:val="20"/>
          <w:shd w:val="clear" w:color="auto" w:fill="FFFFFF"/>
        </w:rPr>
        <w:t> (Duke University Press 2011) Ch 2; A </w:t>
      </w:r>
      <w:proofErr w:type="spellStart"/>
      <w:r w:rsidRPr="003300DC">
        <w:rPr>
          <w:rFonts w:ascii="Times New Roman" w:eastAsia="Times New Roman" w:hAnsi="Times New Roman" w:cs="Times New Roman"/>
          <w:color w:val="000000" w:themeColor="text1"/>
          <w:sz w:val="20"/>
          <w:szCs w:val="20"/>
          <w:shd w:val="clear" w:color="auto" w:fill="FFFFFF"/>
        </w:rPr>
        <w:t>Fanghanel</w:t>
      </w:r>
      <w:proofErr w:type="spellEnd"/>
      <w:r w:rsidRPr="003300DC">
        <w:rPr>
          <w:rFonts w:ascii="Times New Roman" w:eastAsia="Times New Roman" w:hAnsi="Times New Roman" w:cs="Times New Roman"/>
          <w:color w:val="000000" w:themeColor="text1"/>
          <w:sz w:val="20"/>
          <w:szCs w:val="20"/>
          <w:shd w:val="clear" w:color="auto" w:fill="FFFFFF"/>
        </w:rPr>
        <w:t>, </w:t>
      </w:r>
      <w:r w:rsidRPr="003300DC">
        <w:rPr>
          <w:rFonts w:ascii="Times New Roman" w:eastAsia="Times New Roman" w:hAnsi="Times New Roman" w:cs="Times New Roman"/>
          <w:i/>
          <w:iCs/>
          <w:color w:val="000000" w:themeColor="text1"/>
          <w:sz w:val="20"/>
          <w:szCs w:val="20"/>
          <w:shd w:val="clear" w:color="auto" w:fill="FFFFFF"/>
        </w:rPr>
        <w:t>Disrupting Rape Culture: Public Space, Sexuality and Revolt</w:t>
      </w:r>
      <w:r w:rsidRPr="003300DC">
        <w:rPr>
          <w:rFonts w:ascii="Times New Roman" w:eastAsia="Times New Roman" w:hAnsi="Times New Roman" w:cs="Times New Roman"/>
          <w:color w:val="000000" w:themeColor="text1"/>
          <w:sz w:val="20"/>
          <w:szCs w:val="20"/>
          <w:shd w:val="clear" w:color="auto" w:fill="FFFFFF"/>
        </w:rPr>
        <w:t> (Bristol University Press 2019) 116. </w:t>
      </w:r>
    </w:p>
  </w:footnote>
  <w:footnote w:id="78">
    <w:p w14:paraId="2E973155" w14:textId="6B218E9B" w:rsidR="00EE36C7" w:rsidRPr="008E464A" w:rsidRDefault="00EE36C7" w:rsidP="00EE36C7">
      <w:pPr>
        <w:jc w:val="both"/>
        <w:rPr>
          <w:rFonts w:ascii="Times New Roman" w:hAnsi="Times New Roman" w:cs="Times New Roman"/>
          <w:color w:val="000000" w:themeColor="text1"/>
          <w:sz w:val="20"/>
          <w:szCs w:val="20"/>
          <w:highlight w:val="green"/>
        </w:rPr>
      </w:pPr>
      <w:r w:rsidRPr="002470A5">
        <w:rPr>
          <w:rStyle w:val="FootnoteReference"/>
          <w:rFonts w:ascii="Times New Roman" w:hAnsi="Times New Roman" w:cs="Times New Roman"/>
          <w:sz w:val="20"/>
          <w:szCs w:val="20"/>
        </w:rPr>
        <w:footnoteRef/>
      </w:r>
      <w:r w:rsidRPr="002470A5">
        <w:rPr>
          <w:rFonts w:ascii="Times New Roman" w:hAnsi="Times New Roman" w:cs="Times New Roman"/>
          <w:sz w:val="20"/>
          <w:szCs w:val="20"/>
        </w:rPr>
        <w:t xml:space="preserve"> </w:t>
      </w:r>
      <w:r w:rsidRPr="002470A5">
        <w:rPr>
          <w:rFonts w:ascii="Times New Roman" w:hAnsi="Times New Roman" w:cs="Times New Roman"/>
          <w:color w:val="000000" w:themeColor="text1"/>
          <w:sz w:val="20"/>
          <w:szCs w:val="20"/>
        </w:rPr>
        <w:t>Busby (n 7</w:t>
      </w:r>
      <w:r w:rsidR="003300DC" w:rsidRPr="002470A5">
        <w:rPr>
          <w:rFonts w:ascii="Times New Roman" w:hAnsi="Times New Roman" w:cs="Times New Roman"/>
          <w:color w:val="000000" w:themeColor="text1"/>
          <w:sz w:val="20"/>
          <w:szCs w:val="20"/>
        </w:rPr>
        <w:t>4</w:t>
      </w:r>
      <w:r w:rsidRPr="002470A5">
        <w:rPr>
          <w:rFonts w:ascii="Times New Roman" w:hAnsi="Times New Roman" w:cs="Times New Roman"/>
          <w:color w:val="000000" w:themeColor="text1"/>
          <w:sz w:val="20"/>
          <w:szCs w:val="20"/>
        </w:rPr>
        <w:t>) 340.</w:t>
      </w:r>
    </w:p>
  </w:footnote>
  <w:footnote w:id="79">
    <w:p w14:paraId="794C6716" w14:textId="67B7C5E3" w:rsidR="00EE36C7" w:rsidRPr="008E464A" w:rsidRDefault="00EE36C7" w:rsidP="00EE36C7">
      <w:pPr>
        <w:pStyle w:val="FootnoteText"/>
        <w:jc w:val="both"/>
        <w:rPr>
          <w:rFonts w:ascii="Times New Roman" w:hAnsi="Times New Roman" w:cs="Times New Roman"/>
          <w:color w:val="000000" w:themeColor="text1"/>
          <w:highlight w:val="green"/>
        </w:rPr>
      </w:pPr>
      <w:r w:rsidRPr="003300DC">
        <w:rPr>
          <w:rStyle w:val="FootnoteReference"/>
          <w:rFonts w:ascii="Times New Roman" w:hAnsi="Times New Roman" w:cs="Times New Roman"/>
        </w:rPr>
        <w:footnoteRef/>
      </w:r>
      <w:r w:rsidRPr="003300DC">
        <w:rPr>
          <w:rFonts w:ascii="Times New Roman" w:hAnsi="Times New Roman" w:cs="Times New Roman"/>
        </w:rPr>
        <w:t xml:space="preserve"> </w:t>
      </w:r>
      <w:r w:rsidRPr="003300DC">
        <w:rPr>
          <w:rFonts w:ascii="Times New Roman" w:eastAsia="Times New Roman" w:hAnsi="Times New Roman" w:cs="Times New Roman"/>
          <w:color w:val="000000" w:themeColor="text1"/>
        </w:rPr>
        <w:t xml:space="preserve">T Bennett, ‘A Fine Line Between Pleasure and Pain: Would Decriminalising BDSM Permit </w:t>
      </w:r>
      <w:r w:rsidR="00843343" w:rsidRPr="003300DC">
        <w:rPr>
          <w:rFonts w:ascii="Times New Roman" w:eastAsia="Times New Roman" w:hAnsi="Times New Roman" w:cs="Times New Roman"/>
          <w:color w:val="000000" w:themeColor="text1"/>
        </w:rPr>
        <w:t>Non-consensual</w:t>
      </w:r>
      <w:r w:rsidRPr="003300DC">
        <w:rPr>
          <w:rFonts w:ascii="Times New Roman" w:eastAsia="Times New Roman" w:hAnsi="Times New Roman" w:cs="Times New Roman"/>
          <w:color w:val="000000" w:themeColor="text1"/>
        </w:rPr>
        <w:t xml:space="preserve"> Abuse?’ [2020] </w:t>
      </w:r>
      <w:r w:rsidRPr="003300DC">
        <w:rPr>
          <w:rFonts w:ascii="Times New Roman" w:eastAsia="Times New Roman" w:hAnsi="Times New Roman" w:cs="Times New Roman"/>
          <w:i/>
          <w:iCs/>
          <w:color w:val="000000" w:themeColor="text1"/>
        </w:rPr>
        <w:t>Liverpool Law Review</w:t>
      </w:r>
      <w:r w:rsidR="003300DC" w:rsidRPr="003300DC">
        <w:rPr>
          <w:rFonts w:ascii="Times New Roman" w:eastAsia="Times New Roman" w:hAnsi="Times New Roman" w:cs="Times New Roman"/>
          <w:color w:val="000000" w:themeColor="text1"/>
        </w:rPr>
        <w:t xml:space="preserve"> 1,</w:t>
      </w:r>
      <w:r w:rsidRPr="003300DC">
        <w:rPr>
          <w:rFonts w:ascii="Times New Roman" w:eastAsia="Times New Roman" w:hAnsi="Times New Roman" w:cs="Times New Roman"/>
          <w:color w:val="000000" w:themeColor="text1"/>
        </w:rPr>
        <w:t xml:space="preserve"> 12.</w:t>
      </w:r>
    </w:p>
  </w:footnote>
  <w:footnote w:id="80">
    <w:p w14:paraId="031BB5B3" w14:textId="293CAEA3" w:rsidR="00EE36C7" w:rsidRPr="008E464A" w:rsidRDefault="00EE36C7" w:rsidP="00EE36C7">
      <w:pPr>
        <w:pStyle w:val="FootnoteText"/>
        <w:jc w:val="both"/>
        <w:rPr>
          <w:rFonts w:ascii="Times New Roman" w:hAnsi="Times New Roman" w:cs="Times New Roman"/>
          <w:color w:val="000000" w:themeColor="text1"/>
          <w:highlight w:val="green"/>
        </w:rPr>
      </w:pPr>
      <w:r w:rsidRPr="002470A5">
        <w:rPr>
          <w:rStyle w:val="FootnoteReference"/>
          <w:rFonts w:ascii="Times New Roman" w:hAnsi="Times New Roman" w:cs="Times New Roman"/>
          <w:color w:val="000000" w:themeColor="text1"/>
        </w:rPr>
        <w:footnoteRef/>
      </w:r>
      <w:r w:rsidRPr="002470A5">
        <w:rPr>
          <w:rFonts w:ascii="Times New Roman" w:hAnsi="Times New Roman" w:cs="Times New Roman"/>
          <w:color w:val="000000" w:themeColor="text1"/>
        </w:rPr>
        <w:t xml:space="preserve"> Busby (n 7</w:t>
      </w:r>
      <w:r w:rsidR="00CC30DF" w:rsidRPr="002470A5">
        <w:rPr>
          <w:rFonts w:ascii="Times New Roman" w:hAnsi="Times New Roman" w:cs="Times New Roman"/>
          <w:color w:val="000000" w:themeColor="text1"/>
        </w:rPr>
        <w:t>4</w:t>
      </w:r>
      <w:r w:rsidRPr="002470A5">
        <w:rPr>
          <w:rFonts w:ascii="Times New Roman" w:hAnsi="Times New Roman" w:cs="Times New Roman"/>
          <w:color w:val="000000" w:themeColor="text1"/>
        </w:rPr>
        <w:t xml:space="preserve">) 339. </w:t>
      </w:r>
    </w:p>
  </w:footnote>
  <w:footnote w:id="81">
    <w:p w14:paraId="59164D7F" w14:textId="77777777" w:rsidR="00EE36C7" w:rsidRPr="008E464A" w:rsidRDefault="00EE36C7" w:rsidP="00EE36C7">
      <w:pPr>
        <w:jc w:val="both"/>
        <w:rPr>
          <w:rFonts w:ascii="Times New Roman" w:hAnsi="Times New Roman" w:cs="Times New Roman"/>
          <w:color w:val="000000" w:themeColor="text1"/>
          <w:sz w:val="20"/>
          <w:szCs w:val="20"/>
          <w:highlight w:val="green"/>
        </w:rPr>
      </w:pPr>
      <w:r w:rsidRPr="003300DC">
        <w:rPr>
          <w:rStyle w:val="FootnoteReference"/>
          <w:rFonts w:ascii="Times New Roman" w:hAnsi="Times New Roman" w:cs="Times New Roman"/>
          <w:color w:val="000000" w:themeColor="text1"/>
          <w:sz w:val="20"/>
          <w:szCs w:val="20"/>
        </w:rPr>
        <w:footnoteRef/>
      </w:r>
      <w:r w:rsidRPr="003300DC">
        <w:rPr>
          <w:rFonts w:ascii="Times New Roman" w:hAnsi="Times New Roman" w:cs="Times New Roman"/>
          <w:color w:val="000000" w:themeColor="text1"/>
          <w:sz w:val="20"/>
          <w:szCs w:val="20"/>
        </w:rPr>
        <w:t xml:space="preserve"> C Hanna, ‘Sex is Not a Sport: Consent and Violence in Criminal Law’ (2001) 42(2) </w:t>
      </w:r>
      <w:r w:rsidRPr="002470A5">
        <w:rPr>
          <w:rFonts w:ascii="Times New Roman" w:hAnsi="Times New Roman" w:cs="Times New Roman"/>
          <w:i/>
          <w:iCs/>
          <w:color w:val="000000" w:themeColor="text1"/>
          <w:sz w:val="20"/>
          <w:szCs w:val="20"/>
        </w:rPr>
        <w:t>Boston College Law Review</w:t>
      </w:r>
      <w:r w:rsidRPr="003300DC">
        <w:rPr>
          <w:rFonts w:ascii="Times New Roman" w:hAnsi="Times New Roman" w:cs="Times New Roman"/>
          <w:color w:val="000000" w:themeColor="text1"/>
          <w:sz w:val="20"/>
          <w:szCs w:val="20"/>
        </w:rPr>
        <w:t xml:space="preserve"> 239.</w:t>
      </w:r>
    </w:p>
  </w:footnote>
  <w:footnote w:id="82">
    <w:p w14:paraId="47A7E731" w14:textId="2C5A3C06"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3300DC">
        <w:rPr>
          <w:rStyle w:val="FootnoteReference"/>
          <w:rFonts w:ascii="Times New Roman" w:hAnsi="Times New Roman" w:cs="Times New Roman"/>
          <w:color w:val="000000" w:themeColor="text1"/>
          <w:sz w:val="20"/>
          <w:szCs w:val="20"/>
        </w:rPr>
        <w:footnoteRef/>
      </w:r>
      <w:r w:rsidRPr="003300DC">
        <w:rPr>
          <w:rFonts w:ascii="Times New Roman" w:hAnsi="Times New Roman" w:cs="Times New Roman"/>
          <w:color w:val="000000" w:themeColor="text1"/>
          <w:sz w:val="20"/>
          <w:szCs w:val="20"/>
        </w:rPr>
        <w:t xml:space="preserve"> </w:t>
      </w:r>
      <w:r w:rsidRPr="003300DC">
        <w:rPr>
          <w:rFonts w:ascii="Times New Roman" w:eastAsia="Times New Roman" w:hAnsi="Times New Roman" w:cs="Times New Roman"/>
          <w:color w:val="000000" w:themeColor="text1"/>
          <w:sz w:val="20"/>
          <w:szCs w:val="20"/>
        </w:rPr>
        <w:t>Bennett (n 78)</w:t>
      </w:r>
      <w:r w:rsidR="003300DC" w:rsidRPr="003300DC">
        <w:rPr>
          <w:rFonts w:ascii="Times New Roman" w:eastAsia="Times New Roman" w:hAnsi="Times New Roman" w:cs="Times New Roman"/>
          <w:color w:val="000000" w:themeColor="text1"/>
          <w:sz w:val="20"/>
          <w:szCs w:val="20"/>
        </w:rPr>
        <w:t xml:space="preserve"> 12.</w:t>
      </w:r>
    </w:p>
  </w:footnote>
  <w:footnote w:id="83">
    <w:p w14:paraId="0F5D1C6B" w14:textId="4DD40AAC" w:rsidR="00EE36C7" w:rsidRPr="008E464A" w:rsidRDefault="00EE36C7" w:rsidP="00EE36C7">
      <w:pPr>
        <w:pStyle w:val="FootnoteText"/>
        <w:jc w:val="both"/>
        <w:rPr>
          <w:rFonts w:ascii="Times New Roman" w:hAnsi="Times New Roman" w:cs="Times New Roman"/>
          <w:highlight w:val="green"/>
        </w:rPr>
      </w:pPr>
      <w:r w:rsidRPr="008D2D21">
        <w:rPr>
          <w:rStyle w:val="FootnoteReference"/>
          <w:rFonts w:ascii="Times New Roman" w:hAnsi="Times New Roman" w:cs="Times New Roman"/>
        </w:rPr>
        <w:footnoteRef/>
      </w:r>
      <w:r w:rsidRPr="008D2D21">
        <w:rPr>
          <w:rFonts w:ascii="Times New Roman" w:hAnsi="Times New Roman" w:cs="Times New Roman"/>
        </w:rPr>
        <w:t xml:space="preserve"> The Serious Crime Act (2015) s76 England and Wales legislation on coercive control is to be extended to Northern Ireland in the forthcoming Domestic Abuse Bill; </w:t>
      </w:r>
      <w:r w:rsidRPr="008D2D21">
        <w:rPr>
          <w:rFonts w:ascii="Times New Roman" w:hAnsi="Times New Roman" w:cs="Times New Roman"/>
          <w:i/>
          <w:iCs/>
        </w:rPr>
        <w:t xml:space="preserve">R v </w:t>
      </w:r>
      <w:proofErr w:type="spellStart"/>
      <w:r w:rsidRPr="008D2D21">
        <w:rPr>
          <w:rFonts w:ascii="Times New Roman" w:hAnsi="Times New Roman" w:cs="Times New Roman"/>
          <w:i/>
          <w:iCs/>
        </w:rPr>
        <w:t>Challen</w:t>
      </w:r>
      <w:proofErr w:type="spellEnd"/>
      <w:r w:rsidRPr="008D2D21">
        <w:rPr>
          <w:rFonts w:ascii="Times New Roman" w:hAnsi="Times New Roman" w:cs="Times New Roman"/>
        </w:rPr>
        <w:t xml:space="preserve"> [2019] ECWA Crim 916; E Stark, </w:t>
      </w:r>
      <w:r w:rsidRPr="008D2D21">
        <w:rPr>
          <w:rFonts w:ascii="Times New Roman" w:hAnsi="Times New Roman" w:cs="Times New Roman"/>
          <w:i/>
          <w:iCs/>
        </w:rPr>
        <w:t>Coercive Control: How Men Entrap Women in Personal Life</w:t>
      </w:r>
      <w:r w:rsidRPr="008D2D21">
        <w:rPr>
          <w:rFonts w:ascii="Times New Roman" w:hAnsi="Times New Roman" w:cs="Times New Roman"/>
        </w:rPr>
        <w:t xml:space="preserve"> (Oxford University Press 2007); S </w:t>
      </w:r>
      <w:proofErr w:type="spellStart"/>
      <w:r w:rsidRPr="008D2D21">
        <w:rPr>
          <w:rFonts w:ascii="Times New Roman" w:hAnsi="Times New Roman" w:cs="Times New Roman"/>
        </w:rPr>
        <w:t>Pegg</w:t>
      </w:r>
      <w:proofErr w:type="spellEnd"/>
      <w:r w:rsidRPr="008D2D21">
        <w:rPr>
          <w:rFonts w:ascii="Times New Roman" w:hAnsi="Times New Roman" w:cs="Times New Roman"/>
        </w:rPr>
        <w:t xml:space="preserve">, ‘BDSM: When is Sadomasochism an Act of Domestic Violence?’ (The Conversation 2018) </w:t>
      </w:r>
      <w:r w:rsidR="00843343" w:rsidRPr="008D2D21">
        <w:rPr>
          <w:rFonts w:ascii="Times New Roman" w:hAnsi="Times New Roman" w:cs="Times New Roman"/>
        </w:rPr>
        <w:t>&lt;</w:t>
      </w:r>
      <w:hyperlink r:id="rId11" w:history="1">
        <w:r w:rsidR="00843343" w:rsidRPr="008D2D21">
          <w:rPr>
            <w:rStyle w:val="Hyperlink"/>
            <w:rFonts w:ascii="Times New Roman" w:hAnsi="Times New Roman" w:cs="Times New Roman"/>
          </w:rPr>
          <w:t>http://theconversation.com/bdsm-when-is-sadomasochism-an-act-of-domestic-violence-108376</w:t>
        </w:r>
      </w:hyperlink>
      <w:r w:rsidR="00843343" w:rsidRPr="008D2D21">
        <w:rPr>
          <w:rFonts w:ascii="Times New Roman" w:hAnsi="Times New Roman" w:cs="Times New Roman"/>
        </w:rPr>
        <w:t>&gt;</w:t>
      </w:r>
      <w:r w:rsidRPr="008D2D21">
        <w:rPr>
          <w:rFonts w:ascii="Times New Roman" w:hAnsi="Times New Roman" w:cs="Times New Roman"/>
        </w:rPr>
        <w:t xml:space="preserve"> </w:t>
      </w:r>
      <w:r w:rsidR="00843343" w:rsidRPr="008D2D21">
        <w:rPr>
          <w:rFonts w:ascii="Times New Roman" w:hAnsi="Times New Roman" w:cs="Times New Roman"/>
        </w:rPr>
        <w:t>A</w:t>
      </w:r>
      <w:r w:rsidRPr="008D2D21">
        <w:rPr>
          <w:rFonts w:ascii="Times New Roman" w:hAnsi="Times New Roman" w:cs="Times New Roman"/>
        </w:rPr>
        <w:t xml:space="preserve">ccessed </w:t>
      </w:r>
      <w:r w:rsidR="00843343" w:rsidRPr="008D2D21">
        <w:rPr>
          <w:rFonts w:ascii="Times New Roman" w:hAnsi="Times New Roman" w:cs="Times New Roman"/>
        </w:rPr>
        <w:t xml:space="preserve">on </w:t>
      </w:r>
      <w:r w:rsidRPr="008D2D21">
        <w:rPr>
          <w:rFonts w:ascii="Times New Roman" w:hAnsi="Times New Roman" w:cs="Times New Roman"/>
        </w:rPr>
        <w:t>3 December 2020.</w:t>
      </w:r>
    </w:p>
  </w:footnote>
  <w:footnote w:id="84">
    <w:p w14:paraId="0217F1A4" w14:textId="52224082"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3300DC">
        <w:rPr>
          <w:rStyle w:val="FootnoteReference"/>
          <w:rFonts w:ascii="Times New Roman" w:hAnsi="Times New Roman" w:cs="Times New Roman"/>
          <w:color w:val="000000" w:themeColor="text1"/>
          <w:sz w:val="20"/>
          <w:szCs w:val="20"/>
        </w:rPr>
        <w:footnoteRef/>
      </w:r>
      <w:r w:rsidRPr="003300DC">
        <w:rPr>
          <w:rFonts w:ascii="Times New Roman" w:hAnsi="Times New Roman" w:cs="Times New Roman"/>
          <w:color w:val="000000" w:themeColor="text1"/>
          <w:sz w:val="20"/>
          <w:szCs w:val="20"/>
        </w:rPr>
        <w:t xml:space="preserve"> </w:t>
      </w:r>
      <w:r w:rsidRPr="003300DC">
        <w:rPr>
          <w:rFonts w:ascii="Times New Roman" w:eastAsia="Times New Roman" w:hAnsi="Times New Roman" w:cs="Times New Roman"/>
          <w:color w:val="000000" w:themeColor="text1"/>
          <w:sz w:val="20"/>
          <w:szCs w:val="20"/>
        </w:rPr>
        <w:t>Bennett (n 7</w:t>
      </w:r>
      <w:r w:rsidR="008D2D21">
        <w:rPr>
          <w:rFonts w:ascii="Times New Roman" w:eastAsia="Times New Roman" w:hAnsi="Times New Roman" w:cs="Times New Roman"/>
          <w:color w:val="000000" w:themeColor="text1"/>
          <w:sz w:val="20"/>
          <w:szCs w:val="20"/>
        </w:rPr>
        <w:t>9</w:t>
      </w:r>
      <w:r w:rsidR="003300DC" w:rsidRPr="003300DC">
        <w:rPr>
          <w:rFonts w:ascii="Times New Roman" w:eastAsia="Times New Roman" w:hAnsi="Times New Roman" w:cs="Times New Roman"/>
          <w:color w:val="000000" w:themeColor="text1"/>
          <w:sz w:val="20"/>
          <w:szCs w:val="20"/>
        </w:rPr>
        <w:t xml:space="preserve">) 13. </w:t>
      </w:r>
    </w:p>
  </w:footnote>
  <w:footnote w:id="85">
    <w:p w14:paraId="6B9DDFF7" w14:textId="18C1CB9D"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CC30DF">
        <w:rPr>
          <w:rStyle w:val="FootnoteReference"/>
          <w:rFonts w:ascii="Times New Roman" w:hAnsi="Times New Roman" w:cs="Times New Roman"/>
          <w:color w:val="000000" w:themeColor="text1"/>
          <w:sz w:val="20"/>
          <w:szCs w:val="20"/>
        </w:rPr>
        <w:footnoteRef/>
      </w:r>
      <w:r w:rsidRPr="00CC30DF">
        <w:rPr>
          <w:rFonts w:ascii="Times New Roman" w:hAnsi="Times New Roman" w:cs="Times New Roman"/>
          <w:color w:val="000000" w:themeColor="text1"/>
          <w:sz w:val="20"/>
          <w:szCs w:val="20"/>
        </w:rPr>
        <w:t xml:space="preserve"> </w:t>
      </w:r>
      <w:r w:rsidRPr="00CC30DF">
        <w:rPr>
          <w:rFonts w:ascii="Times New Roman" w:eastAsia="Times New Roman" w:hAnsi="Times New Roman" w:cs="Times New Roman"/>
          <w:color w:val="000000" w:themeColor="text1"/>
          <w:sz w:val="20"/>
          <w:szCs w:val="20"/>
          <w:shd w:val="clear" w:color="auto" w:fill="FFFFFF"/>
        </w:rPr>
        <w:t xml:space="preserve">N </w:t>
      </w:r>
      <w:proofErr w:type="spellStart"/>
      <w:r w:rsidRPr="00CC30DF">
        <w:rPr>
          <w:rFonts w:ascii="Times New Roman" w:eastAsia="Times New Roman" w:hAnsi="Times New Roman" w:cs="Times New Roman"/>
          <w:color w:val="000000" w:themeColor="text1"/>
          <w:sz w:val="20"/>
          <w:szCs w:val="20"/>
          <w:shd w:val="clear" w:color="auto" w:fill="FFFFFF"/>
        </w:rPr>
        <w:t>Burrowes</w:t>
      </w:r>
      <w:proofErr w:type="spellEnd"/>
      <w:r w:rsidRPr="00CC30DF">
        <w:rPr>
          <w:rFonts w:ascii="Times New Roman" w:eastAsia="Times New Roman" w:hAnsi="Times New Roman" w:cs="Times New Roman"/>
          <w:color w:val="000000" w:themeColor="text1"/>
          <w:sz w:val="20"/>
          <w:szCs w:val="20"/>
          <w:shd w:val="clear" w:color="auto" w:fill="FFFFFF"/>
        </w:rPr>
        <w:t>, </w:t>
      </w:r>
      <w:r w:rsidRPr="00CC30DF">
        <w:rPr>
          <w:rFonts w:ascii="Times New Roman" w:eastAsia="Times New Roman" w:hAnsi="Times New Roman" w:cs="Times New Roman"/>
          <w:i/>
          <w:iCs/>
          <w:color w:val="000000" w:themeColor="text1"/>
          <w:sz w:val="20"/>
          <w:szCs w:val="20"/>
          <w:shd w:val="clear" w:color="auto" w:fill="FFFFFF"/>
        </w:rPr>
        <w:t>Responding to the Challenge of Rape Myths in Court: A Guide for Prosecutors</w:t>
      </w:r>
      <w:r w:rsidRPr="00CC30DF">
        <w:rPr>
          <w:rFonts w:ascii="Times New Roman" w:eastAsia="Times New Roman" w:hAnsi="Times New Roman" w:cs="Times New Roman"/>
          <w:color w:val="000000" w:themeColor="text1"/>
          <w:sz w:val="20"/>
          <w:szCs w:val="20"/>
          <w:shd w:val="clear" w:color="auto" w:fill="FFFFFF"/>
        </w:rPr>
        <w:t> (NB Research, March 2013) </w:t>
      </w:r>
      <w:r w:rsidR="00843343" w:rsidRPr="00CC30DF">
        <w:rPr>
          <w:rFonts w:ascii="Times New Roman" w:eastAsia="Times New Roman" w:hAnsi="Times New Roman" w:cs="Times New Roman"/>
          <w:color w:val="000000" w:themeColor="text1"/>
          <w:sz w:val="20"/>
          <w:szCs w:val="20"/>
          <w:shd w:val="clear" w:color="auto" w:fill="FFFFFF"/>
        </w:rPr>
        <w:t>&lt;</w:t>
      </w:r>
      <w:hyperlink r:id="rId12" w:history="1">
        <w:r w:rsidR="00CC30DF" w:rsidRPr="00CC30DF">
          <w:rPr>
            <w:rStyle w:val="Hyperlink"/>
            <w:rFonts w:ascii="Times New Roman" w:eastAsia="Times New Roman" w:hAnsi="Times New Roman" w:cs="Times New Roman"/>
            <w:sz w:val="20"/>
            <w:szCs w:val="20"/>
            <w:shd w:val="clear" w:color="auto" w:fill="FFFFFF"/>
          </w:rPr>
          <w:t>http://nb-research.com/wp-content/uploads/2013/04/Responding-to-the-challenge-of-rape-myths-in-court_Nina-Burrowes.pdf</w:t>
        </w:r>
      </w:hyperlink>
      <w:r w:rsidR="00843343" w:rsidRPr="00CC30DF">
        <w:rPr>
          <w:rFonts w:ascii="Times New Roman" w:eastAsia="Times New Roman" w:hAnsi="Times New Roman" w:cs="Times New Roman"/>
          <w:sz w:val="20"/>
          <w:szCs w:val="20"/>
          <w:shd w:val="clear" w:color="auto" w:fill="FFFFFF"/>
        </w:rPr>
        <w:t>&gt;</w:t>
      </w:r>
      <w:r w:rsidRPr="00CC30DF">
        <w:rPr>
          <w:rFonts w:ascii="Times New Roman" w:eastAsia="Times New Roman" w:hAnsi="Times New Roman" w:cs="Times New Roman"/>
          <w:color w:val="000000" w:themeColor="text1"/>
          <w:sz w:val="20"/>
          <w:szCs w:val="20"/>
          <w:shd w:val="clear" w:color="auto" w:fill="FFFFFF"/>
        </w:rPr>
        <w:t> </w:t>
      </w:r>
      <w:r w:rsidR="00843343" w:rsidRPr="00CC30DF">
        <w:rPr>
          <w:rFonts w:ascii="Times New Roman" w:eastAsia="Times New Roman" w:hAnsi="Times New Roman" w:cs="Times New Roman"/>
          <w:color w:val="000000" w:themeColor="text1"/>
          <w:sz w:val="20"/>
          <w:szCs w:val="20"/>
          <w:shd w:val="clear" w:color="auto" w:fill="FFFFFF"/>
        </w:rPr>
        <w:t>A</w:t>
      </w:r>
      <w:r w:rsidRPr="00CC30DF">
        <w:rPr>
          <w:rFonts w:ascii="Times New Roman" w:eastAsia="Times New Roman" w:hAnsi="Times New Roman" w:cs="Times New Roman"/>
          <w:color w:val="000000" w:themeColor="text1"/>
          <w:sz w:val="20"/>
          <w:szCs w:val="20"/>
          <w:shd w:val="clear" w:color="auto" w:fill="FFFFFF"/>
        </w:rPr>
        <w:t>ccessed</w:t>
      </w:r>
      <w:r w:rsidR="00843343" w:rsidRPr="00CC30DF">
        <w:rPr>
          <w:rFonts w:ascii="Times New Roman" w:eastAsia="Times New Roman" w:hAnsi="Times New Roman" w:cs="Times New Roman"/>
          <w:color w:val="000000" w:themeColor="text1"/>
          <w:sz w:val="20"/>
          <w:szCs w:val="20"/>
          <w:shd w:val="clear" w:color="auto" w:fill="FFFFFF"/>
        </w:rPr>
        <w:t xml:space="preserve"> on</w:t>
      </w:r>
      <w:r w:rsidRPr="00CC30DF">
        <w:rPr>
          <w:rFonts w:ascii="Times New Roman" w:eastAsia="Times New Roman" w:hAnsi="Times New Roman" w:cs="Times New Roman"/>
          <w:color w:val="000000" w:themeColor="text1"/>
          <w:sz w:val="20"/>
          <w:szCs w:val="20"/>
          <w:shd w:val="clear" w:color="auto" w:fill="FFFFFF"/>
        </w:rPr>
        <w:t xml:space="preserve"> 3 December 2020 5, 12, 20, 24. </w:t>
      </w:r>
    </w:p>
  </w:footnote>
  <w:footnote w:id="86">
    <w:p w14:paraId="22A5FA33" w14:textId="6EB73DDB"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CC30DF">
        <w:rPr>
          <w:rStyle w:val="FootnoteReference"/>
          <w:rFonts w:ascii="Times New Roman" w:hAnsi="Times New Roman" w:cs="Times New Roman"/>
          <w:color w:val="000000" w:themeColor="text1"/>
          <w:sz w:val="20"/>
          <w:szCs w:val="20"/>
        </w:rPr>
        <w:footnoteRef/>
      </w:r>
      <w:r w:rsidRPr="00CC30DF">
        <w:rPr>
          <w:rFonts w:ascii="Times New Roman" w:hAnsi="Times New Roman" w:cs="Times New Roman"/>
          <w:color w:val="000000" w:themeColor="text1"/>
          <w:sz w:val="20"/>
          <w:szCs w:val="20"/>
        </w:rPr>
        <w:t xml:space="preserve"> </w:t>
      </w:r>
      <w:r w:rsidRPr="00CC30DF">
        <w:rPr>
          <w:rFonts w:ascii="Times New Roman" w:eastAsia="Times New Roman" w:hAnsi="Times New Roman" w:cs="Times New Roman"/>
          <w:color w:val="000000" w:themeColor="text1"/>
          <w:sz w:val="20"/>
          <w:szCs w:val="20"/>
          <w:shd w:val="clear" w:color="auto" w:fill="FFFFFF"/>
        </w:rPr>
        <w:t>J Gillen, </w:t>
      </w:r>
      <w:r w:rsidRPr="00CC30DF">
        <w:rPr>
          <w:rFonts w:ascii="Times New Roman" w:eastAsia="Times New Roman" w:hAnsi="Times New Roman" w:cs="Times New Roman"/>
          <w:i/>
          <w:iCs/>
          <w:color w:val="000000" w:themeColor="text1"/>
          <w:sz w:val="20"/>
          <w:szCs w:val="20"/>
          <w:shd w:val="clear" w:color="auto" w:fill="FFFFFF"/>
        </w:rPr>
        <w:t>Report into the Law and Procedures in Serious Sexual Offences in Northern Ireland</w:t>
      </w:r>
      <w:r w:rsidRPr="00CC30DF">
        <w:rPr>
          <w:rFonts w:ascii="Times New Roman" w:eastAsia="Times New Roman" w:hAnsi="Times New Roman" w:cs="Times New Roman"/>
          <w:color w:val="000000" w:themeColor="text1"/>
          <w:sz w:val="20"/>
          <w:szCs w:val="20"/>
          <w:shd w:val="clear" w:color="auto" w:fill="FFFFFF"/>
        </w:rPr>
        <w:t xml:space="preserve"> (Ministry of Justice NI 2019) </w:t>
      </w:r>
      <w:r w:rsidR="00843343" w:rsidRPr="00CC30DF">
        <w:rPr>
          <w:rFonts w:ascii="Times New Roman" w:eastAsia="Times New Roman" w:hAnsi="Times New Roman" w:cs="Times New Roman"/>
          <w:color w:val="000000" w:themeColor="text1"/>
          <w:sz w:val="20"/>
          <w:szCs w:val="20"/>
          <w:shd w:val="clear" w:color="auto" w:fill="FFFFFF"/>
        </w:rPr>
        <w:t>&lt;</w:t>
      </w:r>
      <w:hyperlink r:id="rId13" w:history="1">
        <w:r w:rsidR="00843343" w:rsidRPr="00CC30DF">
          <w:rPr>
            <w:rStyle w:val="Hyperlink"/>
            <w:rFonts w:ascii="Times New Roman" w:eastAsia="Times New Roman" w:hAnsi="Times New Roman" w:cs="Times New Roman"/>
            <w:sz w:val="20"/>
            <w:szCs w:val="20"/>
            <w:shd w:val="clear" w:color="auto" w:fill="FFFFFF"/>
          </w:rPr>
          <w:t>www.justice-ni.gov.uk/publications/gillen-review-report-law-and-procedures-serious-sexual-offences-ni</w:t>
        </w:r>
      </w:hyperlink>
      <w:r w:rsidR="00843343" w:rsidRPr="00CC30DF">
        <w:rPr>
          <w:rFonts w:ascii="Times New Roman" w:eastAsia="Times New Roman" w:hAnsi="Times New Roman" w:cs="Times New Roman"/>
          <w:sz w:val="20"/>
          <w:szCs w:val="20"/>
          <w:shd w:val="clear" w:color="auto" w:fill="FFFFFF"/>
        </w:rPr>
        <w:t>&gt;</w:t>
      </w:r>
      <w:r w:rsidRPr="00CC30DF">
        <w:rPr>
          <w:rFonts w:ascii="Times New Roman" w:eastAsia="Times New Roman" w:hAnsi="Times New Roman" w:cs="Times New Roman"/>
          <w:color w:val="000000" w:themeColor="text1"/>
          <w:sz w:val="20"/>
          <w:szCs w:val="20"/>
          <w:shd w:val="clear" w:color="auto" w:fill="FFFFFF"/>
        </w:rPr>
        <w:t xml:space="preserve"> </w:t>
      </w:r>
      <w:r w:rsidR="00843343" w:rsidRPr="00CC30DF">
        <w:rPr>
          <w:rFonts w:ascii="Times New Roman" w:eastAsia="Times New Roman" w:hAnsi="Times New Roman" w:cs="Times New Roman"/>
          <w:color w:val="000000" w:themeColor="text1"/>
          <w:sz w:val="20"/>
          <w:szCs w:val="20"/>
          <w:shd w:val="clear" w:color="auto" w:fill="FFFFFF"/>
        </w:rPr>
        <w:t>A</w:t>
      </w:r>
      <w:r w:rsidRPr="00CC30DF">
        <w:rPr>
          <w:rFonts w:ascii="Times New Roman" w:eastAsia="Times New Roman" w:hAnsi="Times New Roman" w:cs="Times New Roman"/>
          <w:color w:val="000000" w:themeColor="text1"/>
          <w:sz w:val="20"/>
          <w:szCs w:val="20"/>
          <w:shd w:val="clear" w:color="auto" w:fill="FFFFFF"/>
        </w:rPr>
        <w:t xml:space="preserve">ccessed </w:t>
      </w:r>
      <w:r w:rsidR="00843343" w:rsidRPr="00CC30DF">
        <w:rPr>
          <w:rFonts w:ascii="Times New Roman" w:eastAsia="Times New Roman" w:hAnsi="Times New Roman" w:cs="Times New Roman"/>
          <w:color w:val="000000" w:themeColor="text1"/>
          <w:sz w:val="20"/>
          <w:szCs w:val="20"/>
          <w:shd w:val="clear" w:color="auto" w:fill="FFFFFF"/>
        </w:rPr>
        <w:t xml:space="preserve">on </w:t>
      </w:r>
      <w:r w:rsidRPr="00CC30DF">
        <w:rPr>
          <w:rFonts w:ascii="Times New Roman" w:eastAsia="Times New Roman" w:hAnsi="Times New Roman" w:cs="Times New Roman"/>
          <w:color w:val="000000" w:themeColor="text1"/>
          <w:sz w:val="20"/>
          <w:szCs w:val="20"/>
          <w:shd w:val="clear" w:color="auto" w:fill="FFFFFF"/>
        </w:rPr>
        <w:t>3 December 2020.</w:t>
      </w:r>
    </w:p>
  </w:footnote>
  <w:footnote w:id="87">
    <w:p w14:paraId="547C3D7C" w14:textId="38652F94" w:rsidR="00EE36C7" w:rsidRPr="00CC30DF" w:rsidRDefault="00EE36C7" w:rsidP="00EE36C7">
      <w:pPr>
        <w:jc w:val="both"/>
        <w:rPr>
          <w:rFonts w:ascii="Times New Roman" w:eastAsia="Times New Roman" w:hAnsi="Times New Roman" w:cs="Times New Roman"/>
          <w:color w:val="000000" w:themeColor="text1"/>
          <w:sz w:val="20"/>
          <w:szCs w:val="20"/>
        </w:rPr>
      </w:pPr>
      <w:r w:rsidRPr="00CC30DF">
        <w:rPr>
          <w:rStyle w:val="FootnoteReference"/>
          <w:rFonts w:ascii="Times New Roman" w:hAnsi="Times New Roman" w:cs="Times New Roman"/>
          <w:color w:val="000000" w:themeColor="text1"/>
          <w:sz w:val="20"/>
          <w:szCs w:val="20"/>
        </w:rPr>
        <w:footnoteRef/>
      </w:r>
      <w:r w:rsidRPr="00CC30DF">
        <w:rPr>
          <w:rFonts w:ascii="Times New Roman" w:hAnsi="Times New Roman" w:cs="Times New Roman"/>
          <w:color w:val="000000" w:themeColor="text1"/>
          <w:sz w:val="20"/>
          <w:szCs w:val="20"/>
        </w:rPr>
        <w:t xml:space="preserve"> </w:t>
      </w:r>
      <w:r w:rsidRPr="00CC30DF">
        <w:rPr>
          <w:rFonts w:ascii="Times New Roman" w:eastAsia="Times New Roman" w:hAnsi="Times New Roman" w:cs="Times New Roman"/>
          <w:color w:val="000000" w:themeColor="text1"/>
          <w:sz w:val="20"/>
          <w:szCs w:val="20"/>
          <w:shd w:val="clear" w:color="auto" w:fill="FFFFFF"/>
        </w:rPr>
        <w:t>J Horn, ‘Fifty Shades of Oppression: Sadomasochism, Feminism and the Law’ (2015) 4(1) DePaul Journal of Women, Gender and the Law 1, 32; Gillen (n 8</w:t>
      </w:r>
      <w:r w:rsidR="00CC30DF" w:rsidRPr="00CC30DF">
        <w:rPr>
          <w:rFonts w:ascii="Times New Roman" w:eastAsia="Times New Roman" w:hAnsi="Times New Roman" w:cs="Times New Roman"/>
          <w:color w:val="000000" w:themeColor="text1"/>
          <w:sz w:val="20"/>
          <w:szCs w:val="20"/>
          <w:shd w:val="clear" w:color="auto" w:fill="FFFFFF"/>
        </w:rPr>
        <w:t>6</w:t>
      </w:r>
      <w:r w:rsidRPr="00CC30DF">
        <w:rPr>
          <w:rFonts w:ascii="Times New Roman" w:eastAsia="Times New Roman" w:hAnsi="Times New Roman" w:cs="Times New Roman"/>
          <w:color w:val="000000" w:themeColor="text1"/>
          <w:sz w:val="20"/>
          <w:szCs w:val="20"/>
          <w:shd w:val="clear" w:color="auto" w:fill="FFFFFF"/>
        </w:rPr>
        <w:t xml:space="preserve">) </w:t>
      </w:r>
    </w:p>
  </w:footnote>
  <w:footnote w:id="88">
    <w:p w14:paraId="3D4F9869" w14:textId="2AA5BD11" w:rsidR="00EE36C7" w:rsidRPr="008E464A" w:rsidRDefault="00EE36C7" w:rsidP="00EE36C7">
      <w:pPr>
        <w:jc w:val="both"/>
        <w:rPr>
          <w:rFonts w:ascii="Times New Roman" w:eastAsia="Times New Roman" w:hAnsi="Times New Roman" w:cs="Times New Roman"/>
          <w:color w:val="000000" w:themeColor="text1"/>
          <w:sz w:val="20"/>
          <w:szCs w:val="20"/>
          <w:highlight w:val="green"/>
        </w:rPr>
      </w:pPr>
      <w:r w:rsidRPr="00CC30DF">
        <w:rPr>
          <w:rStyle w:val="FootnoteReference"/>
          <w:rFonts w:ascii="Times New Roman" w:hAnsi="Times New Roman" w:cs="Times New Roman"/>
          <w:color w:val="000000" w:themeColor="text1"/>
          <w:sz w:val="20"/>
          <w:szCs w:val="20"/>
        </w:rPr>
        <w:footnoteRef/>
      </w:r>
      <w:r w:rsidRPr="00CC30DF">
        <w:rPr>
          <w:rFonts w:ascii="Times New Roman" w:hAnsi="Times New Roman" w:cs="Times New Roman"/>
          <w:color w:val="000000" w:themeColor="text1"/>
          <w:sz w:val="20"/>
          <w:szCs w:val="20"/>
        </w:rPr>
        <w:t xml:space="preserve"> </w:t>
      </w:r>
      <w:proofErr w:type="spellStart"/>
      <w:r w:rsidRPr="00CC30DF">
        <w:rPr>
          <w:rFonts w:ascii="Times New Roman" w:eastAsia="Times New Roman" w:hAnsi="Times New Roman" w:cs="Times New Roman"/>
          <w:color w:val="000000" w:themeColor="text1"/>
          <w:sz w:val="20"/>
          <w:szCs w:val="20"/>
          <w:shd w:val="clear" w:color="auto" w:fill="FFFFFF"/>
        </w:rPr>
        <w:t>Burrowes</w:t>
      </w:r>
      <w:proofErr w:type="spellEnd"/>
      <w:r w:rsidRPr="00CC30DF">
        <w:rPr>
          <w:rFonts w:ascii="Times New Roman" w:eastAsia="Times New Roman" w:hAnsi="Times New Roman" w:cs="Times New Roman"/>
          <w:color w:val="000000" w:themeColor="text1"/>
          <w:sz w:val="20"/>
          <w:szCs w:val="20"/>
          <w:shd w:val="clear" w:color="auto" w:fill="FFFFFF"/>
        </w:rPr>
        <w:t xml:space="preserve"> (n 8</w:t>
      </w:r>
      <w:r w:rsidR="00CC30DF" w:rsidRPr="00CC30DF">
        <w:rPr>
          <w:rFonts w:ascii="Times New Roman" w:eastAsia="Times New Roman" w:hAnsi="Times New Roman" w:cs="Times New Roman"/>
          <w:color w:val="000000" w:themeColor="text1"/>
          <w:sz w:val="20"/>
          <w:szCs w:val="20"/>
          <w:shd w:val="clear" w:color="auto" w:fill="FFFFFF"/>
        </w:rPr>
        <w:t>5</w:t>
      </w:r>
      <w:r w:rsidRPr="00CC30DF">
        <w:rPr>
          <w:rFonts w:ascii="Times New Roman" w:eastAsia="Times New Roman" w:hAnsi="Times New Roman" w:cs="Times New Roman"/>
          <w:color w:val="000000" w:themeColor="text1"/>
          <w:sz w:val="20"/>
          <w:szCs w:val="20"/>
          <w:shd w:val="clear" w:color="auto" w:fill="FFFFFF"/>
        </w:rPr>
        <w:t>)</w:t>
      </w:r>
      <w:r w:rsidR="00843343" w:rsidRPr="00CC30DF">
        <w:rPr>
          <w:rFonts w:ascii="Times New Roman" w:eastAsia="Times New Roman" w:hAnsi="Times New Roman" w:cs="Times New Roman"/>
          <w:color w:val="000000" w:themeColor="text1"/>
          <w:sz w:val="20"/>
          <w:szCs w:val="20"/>
          <w:shd w:val="clear" w:color="auto" w:fill="FFFFFF"/>
        </w:rPr>
        <w:t>.</w:t>
      </w:r>
    </w:p>
  </w:footnote>
  <w:footnote w:id="89">
    <w:p w14:paraId="3196D03C" w14:textId="40691757" w:rsidR="00EE36C7" w:rsidRPr="00CC30DF" w:rsidRDefault="00EE36C7" w:rsidP="00EE36C7">
      <w:pPr>
        <w:jc w:val="both"/>
        <w:rPr>
          <w:rFonts w:ascii="Times New Roman" w:hAnsi="Times New Roman" w:cs="Times New Roman"/>
          <w:color w:val="000000" w:themeColor="text1"/>
          <w:sz w:val="20"/>
          <w:szCs w:val="20"/>
        </w:rPr>
      </w:pPr>
      <w:r w:rsidRPr="00CC30DF">
        <w:rPr>
          <w:rStyle w:val="FootnoteReference"/>
          <w:rFonts w:ascii="Times New Roman" w:hAnsi="Times New Roman" w:cs="Times New Roman"/>
          <w:color w:val="000000" w:themeColor="text1"/>
          <w:sz w:val="20"/>
          <w:szCs w:val="20"/>
        </w:rPr>
        <w:footnoteRef/>
      </w:r>
      <w:r w:rsidRPr="00CC30DF">
        <w:rPr>
          <w:rFonts w:ascii="Times New Roman" w:hAnsi="Times New Roman" w:cs="Times New Roman"/>
          <w:color w:val="000000" w:themeColor="text1"/>
          <w:sz w:val="20"/>
          <w:szCs w:val="20"/>
        </w:rPr>
        <w:t xml:space="preserve"> </w:t>
      </w:r>
      <w:r w:rsidR="002470A5">
        <w:rPr>
          <w:rFonts w:ascii="Times New Roman" w:hAnsi="Times New Roman" w:cs="Times New Roman"/>
          <w:color w:val="000000" w:themeColor="text1"/>
          <w:sz w:val="20"/>
          <w:szCs w:val="20"/>
        </w:rPr>
        <w:t xml:space="preserve">See, </w:t>
      </w:r>
      <w:r w:rsidRPr="00CC30DF">
        <w:rPr>
          <w:rFonts w:ascii="Times New Roman" w:hAnsi="Times New Roman" w:cs="Times New Roman"/>
          <w:color w:val="000000" w:themeColor="text1"/>
          <w:sz w:val="20"/>
          <w:szCs w:val="20"/>
        </w:rPr>
        <w:t xml:space="preserve">E Dowds, </w:t>
      </w:r>
      <w:r w:rsidRPr="00CC30DF">
        <w:rPr>
          <w:rFonts w:ascii="Times New Roman" w:hAnsi="Times New Roman" w:cs="Times New Roman"/>
          <w:i/>
          <w:iCs/>
          <w:color w:val="000000" w:themeColor="text1"/>
          <w:sz w:val="20"/>
          <w:szCs w:val="20"/>
        </w:rPr>
        <w:t>Sexual Consent in Northern Ireland: The Social and Legal Dimensions</w:t>
      </w:r>
      <w:r w:rsidRPr="00CC30DF">
        <w:rPr>
          <w:rFonts w:ascii="Times New Roman" w:hAnsi="Times New Roman" w:cs="Times New Roman"/>
          <w:color w:val="000000" w:themeColor="text1"/>
          <w:sz w:val="20"/>
          <w:szCs w:val="20"/>
        </w:rPr>
        <w:t xml:space="preserve"> (Queen’s University Belfast 2020) Queen’s Policy Engagement: Policy Paper 6 </w:t>
      </w:r>
      <w:r w:rsidR="00843343" w:rsidRPr="00CC30DF">
        <w:rPr>
          <w:rFonts w:ascii="Times New Roman" w:hAnsi="Times New Roman" w:cs="Times New Roman"/>
          <w:color w:val="000000" w:themeColor="text1"/>
          <w:sz w:val="20"/>
          <w:szCs w:val="20"/>
        </w:rPr>
        <w:t>&lt;</w:t>
      </w:r>
      <w:hyperlink r:id="rId14" w:history="1">
        <w:r w:rsidR="00843343" w:rsidRPr="00CC30DF">
          <w:rPr>
            <w:rStyle w:val="Hyperlink"/>
            <w:rFonts w:ascii="Times New Roman" w:hAnsi="Times New Roman" w:cs="Times New Roman"/>
            <w:sz w:val="20"/>
            <w:szCs w:val="20"/>
          </w:rPr>
          <w:t>www.http://qpol.qub.ac.uk</w:t>
        </w:r>
      </w:hyperlink>
      <w:r w:rsidR="00843343" w:rsidRPr="00CC30DF">
        <w:rPr>
          <w:rFonts w:ascii="Times New Roman" w:hAnsi="Times New Roman" w:cs="Times New Roman"/>
          <w:sz w:val="20"/>
          <w:szCs w:val="20"/>
        </w:rPr>
        <w:t>&gt;</w:t>
      </w:r>
      <w:r w:rsidRPr="00CC30DF">
        <w:rPr>
          <w:rFonts w:ascii="Times New Roman" w:hAnsi="Times New Roman" w:cs="Times New Roman"/>
          <w:color w:val="000000" w:themeColor="text1"/>
          <w:sz w:val="20"/>
          <w:szCs w:val="20"/>
        </w:rPr>
        <w:t xml:space="preserve"> </w:t>
      </w:r>
      <w:r w:rsidR="00843343" w:rsidRPr="00CC30DF">
        <w:rPr>
          <w:rFonts w:ascii="Times New Roman" w:hAnsi="Times New Roman" w:cs="Times New Roman"/>
          <w:color w:val="000000" w:themeColor="text1"/>
          <w:sz w:val="20"/>
          <w:szCs w:val="20"/>
        </w:rPr>
        <w:t>A</w:t>
      </w:r>
      <w:r w:rsidRPr="00CC30DF">
        <w:rPr>
          <w:rFonts w:ascii="Times New Roman" w:hAnsi="Times New Roman" w:cs="Times New Roman"/>
          <w:color w:val="000000" w:themeColor="text1"/>
          <w:sz w:val="20"/>
          <w:szCs w:val="20"/>
        </w:rPr>
        <w:t xml:space="preserve">ccessed </w:t>
      </w:r>
      <w:r w:rsidR="00843343" w:rsidRPr="00CC30DF">
        <w:rPr>
          <w:rFonts w:ascii="Times New Roman" w:hAnsi="Times New Roman" w:cs="Times New Roman"/>
          <w:color w:val="000000" w:themeColor="text1"/>
          <w:sz w:val="20"/>
          <w:szCs w:val="20"/>
        </w:rPr>
        <w:t xml:space="preserve">on </w:t>
      </w:r>
      <w:r w:rsidRPr="00CC30DF">
        <w:rPr>
          <w:rFonts w:ascii="Times New Roman" w:hAnsi="Times New Roman" w:cs="Times New Roman"/>
          <w:color w:val="000000" w:themeColor="text1"/>
          <w:sz w:val="20"/>
          <w:szCs w:val="20"/>
        </w:rPr>
        <w:t xml:space="preserve">3 December 2020 1, 2. </w:t>
      </w:r>
    </w:p>
  </w:footnote>
  <w:footnote w:id="90">
    <w:p w14:paraId="01BF4A58" w14:textId="79D02579" w:rsidR="00EE36C7" w:rsidRPr="00CC30DF" w:rsidRDefault="00EE36C7" w:rsidP="00EE36C7">
      <w:pPr>
        <w:jc w:val="both"/>
        <w:rPr>
          <w:rFonts w:ascii="Times New Roman" w:hAnsi="Times New Roman" w:cs="Times New Roman"/>
          <w:sz w:val="20"/>
          <w:szCs w:val="20"/>
        </w:rPr>
      </w:pPr>
      <w:r w:rsidRPr="00CC30DF">
        <w:rPr>
          <w:rStyle w:val="FootnoteReference"/>
          <w:rFonts w:ascii="Times New Roman" w:hAnsi="Times New Roman" w:cs="Times New Roman"/>
          <w:sz w:val="20"/>
          <w:szCs w:val="20"/>
        </w:rPr>
        <w:footnoteRef/>
      </w:r>
      <w:r w:rsidRPr="00CC30DF">
        <w:rPr>
          <w:rFonts w:ascii="Times New Roman" w:hAnsi="Times New Roman" w:cs="Times New Roman"/>
          <w:sz w:val="20"/>
          <w:szCs w:val="20"/>
        </w:rPr>
        <w:t xml:space="preserve"> Ibid</w:t>
      </w:r>
      <w:r w:rsidR="00385CDF" w:rsidRPr="00CC30DF">
        <w:rPr>
          <w:rFonts w:ascii="Times New Roman" w:hAnsi="Times New Roman" w:cs="Times New Roman"/>
          <w:sz w:val="20"/>
          <w:szCs w:val="20"/>
        </w:rPr>
        <w:t xml:space="preserve"> at </w:t>
      </w:r>
      <w:r w:rsidRPr="00CC30DF">
        <w:rPr>
          <w:rFonts w:ascii="Times New Roman" w:hAnsi="Times New Roman" w:cs="Times New Roman"/>
          <w:sz w:val="20"/>
          <w:szCs w:val="20"/>
        </w:rPr>
        <w:t xml:space="preserve">4. </w:t>
      </w:r>
    </w:p>
  </w:footnote>
  <w:footnote w:id="91">
    <w:p w14:paraId="2293BC75" w14:textId="77777777" w:rsidR="00EE36C7" w:rsidRPr="008E464A" w:rsidRDefault="00EE36C7" w:rsidP="00EE36C7">
      <w:pPr>
        <w:pStyle w:val="FootnoteText"/>
        <w:jc w:val="both"/>
        <w:rPr>
          <w:rFonts w:ascii="Times New Roman" w:hAnsi="Times New Roman" w:cs="Times New Roman"/>
          <w:highlight w:val="green"/>
        </w:rPr>
      </w:pPr>
      <w:r w:rsidRPr="00CC30DF">
        <w:rPr>
          <w:rStyle w:val="FootnoteReference"/>
          <w:rFonts w:ascii="Times New Roman" w:hAnsi="Times New Roman" w:cs="Times New Roman"/>
        </w:rPr>
        <w:footnoteRef/>
      </w:r>
      <w:r w:rsidRPr="00CC30DF">
        <w:rPr>
          <w:rFonts w:ascii="Times New Roman" w:hAnsi="Times New Roman" w:cs="Times New Roman"/>
        </w:rPr>
        <w:t xml:space="preserve"> Ibid.</w:t>
      </w:r>
    </w:p>
  </w:footnote>
  <w:footnote w:id="92">
    <w:p w14:paraId="18B1879C" w14:textId="16BC2291" w:rsidR="00EE36C7" w:rsidRPr="008E464A" w:rsidRDefault="00EE36C7" w:rsidP="00EE36C7">
      <w:pPr>
        <w:pStyle w:val="FootnoteText"/>
        <w:jc w:val="both"/>
        <w:rPr>
          <w:rFonts w:ascii="Times New Roman" w:eastAsia="Times New Roman" w:hAnsi="Times New Roman" w:cs="Times New Roman"/>
          <w:highlight w:val="green"/>
        </w:rPr>
      </w:pPr>
      <w:r w:rsidRPr="00CC30DF">
        <w:rPr>
          <w:rStyle w:val="FootnoteReference"/>
          <w:rFonts w:ascii="Times New Roman" w:hAnsi="Times New Roman" w:cs="Times New Roman"/>
        </w:rPr>
        <w:footnoteRef/>
      </w:r>
      <w:r w:rsidRPr="00CC30DF">
        <w:rPr>
          <w:rFonts w:ascii="Times New Roman" w:hAnsi="Times New Roman" w:cs="Times New Roman"/>
        </w:rPr>
        <w:t xml:space="preserve"> </w:t>
      </w:r>
      <w:r w:rsidRPr="00CC30DF">
        <w:rPr>
          <w:rFonts w:ascii="Times New Roman" w:eastAsia="Times New Roman" w:hAnsi="Times New Roman" w:cs="Times New Roman"/>
        </w:rPr>
        <w:t>Gillen (n 8</w:t>
      </w:r>
      <w:r w:rsidR="00CC30DF" w:rsidRPr="00CC30DF">
        <w:rPr>
          <w:rFonts w:ascii="Times New Roman" w:eastAsia="Times New Roman" w:hAnsi="Times New Roman" w:cs="Times New Roman"/>
        </w:rPr>
        <w:t>6</w:t>
      </w:r>
      <w:r w:rsidRPr="00CC30DF">
        <w:rPr>
          <w:rFonts w:ascii="Times New Roman" w:eastAsia="Times New Roman" w:hAnsi="Times New Roman" w:cs="Times New Roman"/>
        </w:rPr>
        <w:t>)</w:t>
      </w:r>
      <w:r w:rsidR="00CC30DF" w:rsidRPr="00CC30DF">
        <w:rPr>
          <w:rFonts w:ascii="Times New Roman" w:eastAsia="Times New Roman" w:hAnsi="Times New Roman" w:cs="Times New Roman"/>
        </w:rPr>
        <w:t>.</w:t>
      </w:r>
      <w:r w:rsidRPr="00CC30DF">
        <w:rPr>
          <w:rFonts w:ascii="Times New Roman" w:eastAsia="Times New Roman" w:hAnsi="Times New Roman" w:cs="Times New Roman"/>
        </w:rPr>
        <w:t xml:space="preserve"> </w:t>
      </w:r>
    </w:p>
  </w:footnote>
  <w:footnote w:id="93">
    <w:p w14:paraId="6DAC3181" w14:textId="62B9C6AE" w:rsidR="00EE36C7" w:rsidRPr="008E464A" w:rsidRDefault="00EE36C7" w:rsidP="00EE36C7">
      <w:pPr>
        <w:pStyle w:val="FootnoteText"/>
        <w:jc w:val="both"/>
        <w:rPr>
          <w:rFonts w:ascii="Times New Roman" w:hAnsi="Times New Roman" w:cs="Times New Roman"/>
          <w:highlight w:val="green"/>
        </w:rPr>
      </w:pPr>
      <w:r w:rsidRPr="00CC30DF">
        <w:rPr>
          <w:rStyle w:val="FootnoteReference"/>
          <w:rFonts w:ascii="Times New Roman" w:hAnsi="Times New Roman" w:cs="Times New Roman"/>
        </w:rPr>
        <w:footnoteRef/>
      </w:r>
      <w:r w:rsidRPr="00CC30DF">
        <w:rPr>
          <w:rFonts w:ascii="Times New Roman" w:hAnsi="Times New Roman" w:cs="Times New Roman"/>
        </w:rPr>
        <w:t xml:space="preserve"> N </w:t>
      </w:r>
      <w:proofErr w:type="spellStart"/>
      <w:r w:rsidRPr="00CC30DF">
        <w:rPr>
          <w:rFonts w:ascii="Times New Roman" w:hAnsi="Times New Roman" w:cs="Times New Roman"/>
        </w:rPr>
        <w:t>Gavey</w:t>
      </w:r>
      <w:proofErr w:type="spellEnd"/>
      <w:r w:rsidRPr="00CC30DF">
        <w:rPr>
          <w:rFonts w:ascii="Times New Roman" w:hAnsi="Times New Roman" w:cs="Times New Roman"/>
        </w:rPr>
        <w:t xml:space="preserve">, </w:t>
      </w:r>
      <w:r w:rsidRPr="00CC30DF">
        <w:rPr>
          <w:rFonts w:ascii="Times New Roman" w:hAnsi="Times New Roman" w:cs="Times New Roman"/>
          <w:i/>
          <w:iCs/>
        </w:rPr>
        <w:t xml:space="preserve">Just Sex? The Cultural Scaffolding of Rape </w:t>
      </w:r>
      <w:r w:rsidRPr="00CC30DF">
        <w:rPr>
          <w:rFonts w:ascii="Times New Roman" w:hAnsi="Times New Roman" w:cs="Times New Roman"/>
        </w:rPr>
        <w:t>(Routledge 2005) 231, 232;</w:t>
      </w:r>
      <w:r w:rsidRPr="00CC30DF">
        <w:rPr>
          <w:rFonts w:ascii="Times New Roman" w:hAnsi="Times New Roman" w:cs="Times New Roman"/>
          <w:i/>
          <w:iCs/>
        </w:rPr>
        <w:t xml:space="preserve"> </w:t>
      </w:r>
      <w:r w:rsidRPr="00CC30DF">
        <w:rPr>
          <w:rFonts w:ascii="Times New Roman" w:hAnsi="Times New Roman" w:cs="Times New Roman"/>
        </w:rPr>
        <w:t xml:space="preserve">L McCormick, </w:t>
      </w:r>
      <w:r w:rsidRPr="00CC30DF">
        <w:rPr>
          <w:rFonts w:ascii="Times New Roman" w:hAnsi="Times New Roman" w:cs="Times New Roman"/>
          <w:i/>
          <w:iCs/>
        </w:rPr>
        <w:t>Regulating Sexuality: Women in Twentieth-Century Northern Ireland</w:t>
      </w:r>
      <w:r w:rsidRPr="00CC30DF">
        <w:rPr>
          <w:rFonts w:ascii="Times New Roman" w:hAnsi="Times New Roman" w:cs="Times New Roman"/>
        </w:rPr>
        <w:t xml:space="preserve"> (Manchester University Press 2009); PJ </w:t>
      </w:r>
      <w:proofErr w:type="spellStart"/>
      <w:r w:rsidRPr="00CC30DF">
        <w:rPr>
          <w:rFonts w:ascii="Times New Roman" w:hAnsi="Times New Roman" w:cs="Times New Roman"/>
        </w:rPr>
        <w:t>Maginn</w:t>
      </w:r>
      <w:proofErr w:type="spellEnd"/>
      <w:r w:rsidRPr="00CC30DF">
        <w:rPr>
          <w:rFonts w:ascii="Times New Roman" w:hAnsi="Times New Roman" w:cs="Times New Roman"/>
        </w:rPr>
        <w:t xml:space="preserve"> and G Ellison, ‘“Ulster Says No”: Regulating the Consumption of Commercial Sexual Spaces and Services in Northern Ireland’ (2017) 54 </w:t>
      </w:r>
      <w:r w:rsidRPr="00CC30DF">
        <w:rPr>
          <w:rFonts w:ascii="Times New Roman" w:hAnsi="Times New Roman" w:cs="Times New Roman"/>
          <w:i/>
          <w:iCs/>
        </w:rPr>
        <w:t xml:space="preserve">Urban Studies </w:t>
      </w:r>
      <w:r w:rsidRPr="00CC30DF">
        <w:rPr>
          <w:rFonts w:ascii="Times New Roman" w:hAnsi="Times New Roman" w:cs="Times New Roman"/>
        </w:rPr>
        <w:t>806.</w:t>
      </w:r>
    </w:p>
  </w:footnote>
  <w:footnote w:id="94">
    <w:p w14:paraId="01F406CC" w14:textId="77777777" w:rsidR="00EE36C7" w:rsidRPr="008E464A" w:rsidRDefault="00EE36C7" w:rsidP="00EE36C7">
      <w:pPr>
        <w:pStyle w:val="FootnoteText"/>
        <w:jc w:val="both"/>
        <w:rPr>
          <w:rFonts w:ascii="Times New Roman" w:eastAsia="Times New Roman" w:hAnsi="Times New Roman" w:cs="Times New Roman"/>
          <w:highlight w:val="green"/>
        </w:rPr>
      </w:pPr>
      <w:r w:rsidRPr="00CC30DF">
        <w:rPr>
          <w:rStyle w:val="FootnoteReference"/>
          <w:rFonts w:ascii="Times New Roman" w:eastAsia="Times New Roman" w:hAnsi="Times New Roman" w:cs="Times New Roman"/>
        </w:rPr>
        <w:footnoteRef/>
      </w:r>
      <w:r w:rsidRPr="00CC30DF">
        <w:rPr>
          <w:rFonts w:ascii="Times New Roman" w:eastAsia="Times New Roman" w:hAnsi="Times New Roman" w:cs="Times New Roman"/>
        </w:rPr>
        <w:t xml:space="preserve"> Education (Curriculum Minimum Content) Order (Northern Ireland) 2007; B Rolston, D Schubotz and A Simpson, ‘Sex Education in Northern Ireland Schools: A Critical Evaluation’ (2005) 5(3) Sex Education 217.</w:t>
      </w:r>
    </w:p>
  </w:footnote>
  <w:footnote w:id="95">
    <w:p w14:paraId="09B56700" w14:textId="77777777" w:rsidR="00EE36C7" w:rsidRPr="008E464A" w:rsidRDefault="00EE36C7" w:rsidP="00EE36C7">
      <w:pPr>
        <w:pStyle w:val="FootnoteText"/>
        <w:jc w:val="both"/>
        <w:rPr>
          <w:rFonts w:ascii="Times New Roman" w:eastAsia="Times New Roman" w:hAnsi="Times New Roman" w:cs="Times New Roman"/>
          <w:highlight w:val="green"/>
        </w:rPr>
      </w:pPr>
      <w:r w:rsidRPr="00CC30DF">
        <w:rPr>
          <w:rStyle w:val="FootnoteReference"/>
          <w:rFonts w:ascii="Times New Roman" w:eastAsia="Times New Roman" w:hAnsi="Times New Roman" w:cs="Times New Roman"/>
        </w:rPr>
        <w:footnoteRef/>
      </w:r>
      <w:r w:rsidRPr="00CC30DF">
        <w:rPr>
          <w:rFonts w:ascii="Times New Roman" w:eastAsia="Times New Roman" w:hAnsi="Times New Roman" w:cs="Times New Roman"/>
        </w:rPr>
        <w:t xml:space="preserve"> L Lundy, L Emerson, K Lloyd, B Byrne and J </w:t>
      </w:r>
      <w:proofErr w:type="spellStart"/>
      <w:r w:rsidRPr="00CC30DF">
        <w:rPr>
          <w:rFonts w:ascii="Times New Roman" w:eastAsia="Times New Roman" w:hAnsi="Times New Roman" w:cs="Times New Roman"/>
        </w:rPr>
        <w:t>Yohanis</w:t>
      </w:r>
      <w:proofErr w:type="spellEnd"/>
      <w:r w:rsidRPr="00CC30DF">
        <w:rPr>
          <w:rFonts w:ascii="Times New Roman" w:eastAsia="Times New Roman" w:hAnsi="Times New Roman" w:cs="Times New Roman"/>
        </w:rPr>
        <w:t xml:space="preserve">, </w:t>
      </w:r>
      <w:r w:rsidRPr="00CC30DF">
        <w:rPr>
          <w:rFonts w:ascii="Times New Roman" w:eastAsia="Times New Roman" w:hAnsi="Times New Roman" w:cs="Times New Roman"/>
          <w:i/>
          <w:iCs/>
        </w:rPr>
        <w:t>Education Reform in Northern Ireland: A Human Rights Review</w:t>
      </w:r>
      <w:r w:rsidRPr="00CC30DF">
        <w:rPr>
          <w:rFonts w:ascii="Times New Roman" w:eastAsia="Times New Roman" w:hAnsi="Times New Roman" w:cs="Times New Roman"/>
        </w:rPr>
        <w:t xml:space="preserve"> (Northern Ireland Human Rights Commission 2012) 25.</w:t>
      </w:r>
    </w:p>
  </w:footnote>
  <w:footnote w:id="96">
    <w:p w14:paraId="0F3D28E5" w14:textId="04889DDF" w:rsidR="00EE36C7" w:rsidRPr="008E464A" w:rsidRDefault="00EE36C7" w:rsidP="00EE36C7">
      <w:pPr>
        <w:pStyle w:val="FootnoteText"/>
        <w:jc w:val="both"/>
        <w:rPr>
          <w:rFonts w:ascii="Times New Roman" w:eastAsia="Times New Roman" w:hAnsi="Times New Roman" w:cs="Times New Roman"/>
          <w:highlight w:val="green"/>
        </w:rPr>
      </w:pPr>
      <w:r w:rsidRPr="00CC30DF">
        <w:rPr>
          <w:rStyle w:val="FootnoteReference"/>
          <w:rFonts w:ascii="Times New Roman" w:eastAsia="Times New Roman" w:hAnsi="Times New Roman" w:cs="Times New Roman"/>
        </w:rPr>
        <w:footnoteRef/>
      </w:r>
      <w:r w:rsidRPr="00CC30DF">
        <w:rPr>
          <w:rFonts w:ascii="Times New Roman" w:eastAsia="Times New Roman" w:hAnsi="Times New Roman" w:cs="Times New Roman"/>
        </w:rPr>
        <w:t xml:space="preserve"> United Nations Committee on the Rights of the Child, ‘Adolescent Health and Development in the Context of the Convention on the Rights of the Child’ (UN Office of the High Commissioner Human Rights 2003) CRC/GC/2003/4</w:t>
      </w:r>
      <w:r w:rsidR="007D4EFE">
        <w:rPr>
          <w:rFonts w:ascii="Times New Roman" w:eastAsia="Times New Roman" w:hAnsi="Times New Roman" w:cs="Times New Roman"/>
        </w:rPr>
        <w:t>, [26]</w:t>
      </w:r>
      <w:r w:rsidR="00843343" w:rsidRPr="00CC30DF">
        <w:rPr>
          <w:rFonts w:ascii="Times New Roman" w:eastAsia="Times New Roman" w:hAnsi="Times New Roman" w:cs="Times New Roman"/>
        </w:rPr>
        <w:t xml:space="preserve"> &lt;</w:t>
      </w:r>
      <w:hyperlink r:id="rId15" w:history="1">
        <w:r w:rsidR="00843343" w:rsidRPr="00CC30DF">
          <w:rPr>
            <w:rStyle w:val="Hyperlink"/>
            <w:rFonts w:ascii="Times New Roman" w:eastAsia="Times New Roman" w:hAnsi="Times New Roman" w:cs="Times New Roman"/>
          </w:rPr>
          <w:t>www.ohchr.org/Documents/Issues/Women/WRGS/Health/GC4.pdf</w:t>
        </w:r>
      </w:hyperlink>
      <w:r w:rsidR="00843343" w:rsidRPr="00CC30DF">
        <w:rPr>
          <w:rFonts w:ascii="Times New Roman" w:eastAsia="Times New Roman" w:hAnsi="Times New Roman" w:cs="Times New Roman"/>
        </w:rPr>
        <w:t>&gt; A</w:t>
      </w:r>
      <w:r w:rsidRPr="00CC30DF">
        <w:rPr>
          <w:rFonts w:ascii="Times New Roman" w:eastAsia="Times New Roman" w:hAnsi="Times New Roman" w:cs="Times New Roman"/>
        </w:rPr>
        <w:t xml:space="preserve">ccessed </w:t>
      </w:r>
      <w:r w:rsidR="00843343" w:rsidRPr="00CC30DF">
        <w:rPr>
          <w:rFonts w:ascii="Times New Roman" w:eastAsia="Times New Roman" w:hAnsi="Times New Roman" w:cs="Times New Roman"/>
        </w:rPr>
        <w:t xml:space="preserve">on </w:t>
      </w:r>
      <w:r w:rsidRPr="00CC30DF">
        <w:rPr>
          <w:rFonts w:ascii="Times New Roman" w:eastAsia="Times New Roman" w:hAnsi="Times New Roman" w:cs="Times New Roman"/>
        </w:rPr>
        <w:t xml:space="preserve">3 December 2020. </w:t>
      </w:r>
    </w:p>
  </w:footnote>
  <w:footnote w:id="97">
    <w:p w14:paraId="3856A503" w14:textId="2434B387" w:rsidR="00EE36C7" w:rsidRPr="008E464A" w:rsidRDefault="00EE36C7" w:rsidP="00EE36C7">
      <w:pPr>
        <w:pStyle w:val="FootnoteText"/>
        <w:jc w:val="both"/>
        <w:rPr>
          <w:rFonts w:ascii="Times New Roman" w:eastAsia="Times New Roman" w:hAnsi="Times New Roman" w:cs="Times New Roman"/>
          <w:highlight w:val="green"/>
        </w:rPr>
      </w:pPr>
      <w:r w:rsidRPr="00CC30DF">
        <w:rPr>
          <w:rStyle w:val="FootnoteReference"/>
          <w:rFonts w:ascii="Times New Roman" w:eastAsia="Times New Roman" w:hAnsi="Times New Roman" w:cs="Times New Roman"/>
        </w:rPr>
        <w:footnoteRef/>
      </w:r>
      <w:r w:rsidRPr="00CC30DF">
        <w:rPr>
          <w:rFonts w:ascii="Times New Roman" w:eastAsia="Times New Roman" w:hAnsi="Times New Roman" w:cs="Times New Roman"/>
        </w:rPr>
        <w:t xml:space="preserve"> </w:t>
      </w:r>
      <w:bookmarkStart w:id="1" w:name="_Hlk58494360"/>
      <w:r w:rsidRPr="00CC30DF">
        <w:rPr>
          <w:rFonts w:ascii="Times New Roman" w:eastAsia="Times New Roman" w:hAnsi="Times New Roman" w:cs="Times New Roman"/>
        </w:rPr>
        <w:t>Gillen (n 8</w:t>
      </w:r>
      <w:r w:rsidR="00CC30DF" w:rsidRPr="00CC30DF">
        <w:rPr>
          <w:rFonts w:ascii="Times New Roman" w:eastAsia="Times New Roman" w:hAnsi="Times New Roman" w:cs="Times New Roman"/>
        </w:rPr>
        <w:t>6</w:t>
      </w:r>
      <w:r w:rsidRPr="00CC30DF">
        <w:rPr>
          <w:rFonts w:ascii="Times New Roman" w:eastAsia="Times New Roman" w:hAnsi="Times New Roman" w:cs="Times New Roman"/>
        </w:rPr>
        <w:t>)</w:t>
      </w:r>
      <w:r w:rsidR="00CC30DF" w:rsidRPr="00CC30DF">
        <w:rPr>
          <w:rFonts w:ascii="Times New Roman" w:eastAsia="Times New Roman" w:hAnsi="Times New Roman" w:cs="Times New Roman"/>
        </w:rPr>
        <w:t>.</w:t>
      </w:r>
      <w:r w:rsidRPr="00CC30DF">
        <w:rPr>
          <w:rFonts w:ascii="Times New Roman" w:eastAsia="Times New Roman" w:hAnsi="Times New Roman" w:cs="Times New Roman"/>
        </w:rPr>
        <w:t xml:space="preserve"> </w:t>
      </w:r>
      <w:bookmarkEnd w:id="1"/>
    </w:p>
  </w:footnote>
  <w:footnote w:id="98">
    <w:p w14:paraId="6F0527C9" w14:textId="6A5E90AC" w:rsidR="00EE36C7" w:rsidRPr="008E464A" w:rsidRDefault="00EE36C7" w:rsidP="00EE36C7">
      <w:pPr>
        <w:jc w:val="both"/>
        <w:rPr>
          <w:rFonts w:ascii="Times New Roman" w:hAnsi="Times New Roman" w:cs="Times New Roman"/>
          <w:color w:val="000000" w:themeColor="text1"/>
          <w:sz w:val="20"/>
          <w:szCs w:val="20"/>
          <w:highlight w:val="green"/>
        </w:rPr>
      </w:pPr>
      <w:r w:rsidRPr="009C41AA">
        <w:rPr>
          <w:rStyle w:val="FootnoteReference"/>
          <w:rFonts w:ascii="Times New Roman" w:hAnsi="Times New Roman" w:cs="Times New Roman"/>
          <w:color w:val="000000" w:themeColor="text1"/>
          <w:sz w:val="20"/>
          <w:szCs w:val="20"/>
        </w:rPr>
        <w:footnoteRef/>
      </w:r>
      <w:r w:rsidRPr="009C41AA">
        <w:rPr>
          <w:rFonts w:ascii="Times New Roman" w:hAnsi="Times New Roman" w:cs="Times New Roman"/>
          <w:color w:val="000000" w:themeColor="text1"/>
          <w:sz w:val="20"/>
          <w:szCs w:val="20"/>
        </w:rPr>
        <w:t xml:space="preserve"> </w:t>
      </w:r>
      <w:r w:rsidR="009C41AA" w:rsidRPr="009C41AA">
        <w:rPr>
          <w:rFonts w:ascii="Times New Roman" w:hAnsi="Times New Roman" w:cs="Times New Roman"/>
          <w:color w:val="000000" w:themeColor="text1"/>
          <w:sz w:val="20"/>
          <w:szCs w:val="20"/>
        </w:rPr>
        <w:t xml:space="preserve">Department of Justice </w:t>
      </w:r>
      <w:r w:rsidRPr="009C41AA">
        <w:rPr>
          <w:rFonts w:ascii="Times New Roman" w:hAnsi="Times New Roman" w:cs="Times New Roman"/>
          <w:color w:val="000000" w:themeColor="text1"/>
          <w:sz w:val="20"/>
          <w:szCs w:val="20"/>
        </w:rPr>
        <w:t>‘</w:t>
      </w:r>
      <w:r w:rsidRPr="009C41AA">
        <w:rPr>
          <w:rFonts w:ascii="Times New Roman" w:hAnsi="Times New Roman" w:cs="Times New Roman"/>
          <w:i/>
          <w:iCs/>
          <w:color w:val="000000" w:themeColor="text1"/>
          <w:sz w:val="20"/>
          <w:szCs w:val="20"/>
        </w:rPr>
        <w:t>Consent to Serious Harm for Sexual Gratification: Not a Defence’</w:t>
      </w:r>
      <w:r w:rsidRPr="009C41AA">
        <w:rPr>
          <w:rFonts w:ascii="Times New Roman" w:hAnsi="Times New Roman" w:cs="Times New Roman"/>
          <w:color w:val="000000" w:themeColor="text1"/>
          <w:sz w:val="20"/>
          <w:szCs w:val="20"/>
        </w:rPr>
        <w:t xml:space="preserve"> (</w:t>
      </w:r>
      <w:r w:rsidR="009C41AA" w:rsidRPr="009C41AA">
        <w:rPr>
          <w:rFonts w:ascii="Times New Roman" w:hAnsi="Times New Roman" w:cs="Times New Roman"/>
          <w:color w:val="000000" w:themeColor="text1"/>
          <w:sz w:val="20"/>
          <w:szCs w:val="20"/>
        </w:rPr>
        <w:t xml:space="preserve">November </w:t>
      </w:r>
      <w:r w:rsidRPr="009C41AA">
        <w:rPr>
          <w:rFonts w:ascii="Times New Roman" w:hAnsi="Times New Roman" w:cs="Times New Roman"/>
          <w:color w:val="000000" w:themeColor="text1"/>
          <w:sz w:val="20"/>
          <w:szCs w:val="20"/>
        </w:rPr>
        <w:t>2020)</w:t>
      </w:r>
      <w:r w:rsidR="009C41AA">
        <w:rPr>
          <w:rFonts w:ascii="Times New Roman" w:hAnsi="Times New Roman" w:cs="Times New Roman"/>
          <w:color w:val="000000" w:themeColor="text1"/>
          <w:sz w:val="20"/>
          <w:szCs w:val="20"/>
        </w:rPr>
        <w:t>, 10.</w:t>
      </w:r>
    </w:p>
  </w:footnote>
  <w:footnote w:id="99">
    <w:p w14:paraId="7BA530E8" w14:textId="497FA255" w:rsidR="00F358B0" w:rsidRDefault="00F358B0">
      <w:pPr>
        <w:pStyle w:val="FootnoteText"/>
      </w:pPr>
      <w:r>
        <w:rPr>
          <w:rStyle w:val="FootnoteReference"/>
        </w:rPr>
        <w:footnoteRef/>
      </w:r>
      <w:r>
        <w:t xml:space="preserve"> </w:t>
      </w:r>
      <w:r w:rsidRPr="009C41AA">
        <w:rPr>
          <w:rFonts w:ascii="Times New Roman" w:hAnsi="Times New Roman" w:cs="Times New Roman"/>
          <w:color w:val="000000" w:themeColor="text1"/>
        </w:rPr>
        <w:t>Department of Justice</w:t>
      </w:r>
      <w:r>
        <w:rPr>
          <w:rFonts w:ascii="Times New Roman" w:hAnsi="Times New Roman" w:cs="Times New Roman"/>
          <w:color w:val="000000" w:themeColor="text1"/>
        </w:rPr>
        <w:t xml:space="preserve"> (n 98), 7.</w:t>
      </w:r>
    </w:p>
  </w:footnote>
  <w:footnote w:id="100">
    <w:p w14:paraId="07199864" w14:textId="5CF4DB0A" w:rsidR="00EE36C7" w:rsidRPr="00354AF6" w:rsidRDefault="00EE36C7" w:rsidP="00EE36C7">
      <w:pPr>
        <w:jc w:val="both"/>
        <w:rPr>
          <w:rFonts w:ascii="Times New Roman" w:hAnsi="Times New Roman" w:cs="Times New Roman"/>
          <w:sz w:val="20"/>
          <w:szCs w:val="20"/>
          <w:highlight w:val="green"/>
        </w:rPr>
      </w:pPr>
      <w:r w:rsidRPr="00354AF6">
        <w:rPr>
          <w:rStyle w:val="FootnoteReference"/>
          <w:rFonts w:ascii="Times New Roman" w:hAnsi="Times New Roman" w:cs="Times New Roman"/>
          <w:sz w:val="20"/>
          <w:szCs w:val="20"/>
        </w:rPr>
        <w:footnoteRef/>
      </w:r>
      <w:r w:rsidRPr="00354AF6">
        <w:rPr>
          <w:rFonts w:ascii="Times New Roman" w:hAnsi="Times New Roman" w:cs="Times New Roman"/>
          <w:sz w:val="20"/>
          <w:szCs w:val="20"/>
        </w:rPr>
        <w:t xml:space="preserve"> </w:t>
      </w:r>
      <w:r w:rsidRPr="00354AF6">
        <w:rPr>
          <w:rStyle w:val="normaltextrun"/>
          <w:rFonts w:ascii="Times New Roman" w:hAnsi="Times New Roman" w:cs="Times New Roman"/>
          <w:sz w:val="20"/>
          <w:szCs w:val="20"/>
        </w:rPr>
        <w:t xml:space="preserve">We Can’t Consent </w:t>
      </w:r>
      <w:proofErr w:type="gramStart"/>
      <w:r w:rsidRPr="00354AF6">
        <w:rPr>
          <w:rStyle w:val="normaltextrun"/>
          <w:rFonts w:ascii="Times New Roman" w:hAnsi="Times New Roman" w:cs="Times New Roman"/>
          <w:sz w:val="20"/>
          <w:szCs w:val="20"/>
        </w:rPr>
        <w:t>To</w:t>
      </w:r>
      <w:proofErr w:type="gramEnd"/>
      <w:r w:rsidRPr="00354AF6">
        <w:rPr>
          <w:rStyle w:val="normaltextrun"/>
          <w:rFonts w:ascii="Times New Roman" w:hAnsi="Times New Roman" w:cs="Times New Roman"/>
          <w:sz w:val="20"/>
          <w:szCs w:val="20"/>
        </w:rPr>
        <w:t xml:space="preserve"> This, ‘</w:t>
      </w:r>
      <w:r w:rsidRPr="00354AF6">
        <w:rPr>
          <w:rStyle w:val="normaltextrun"/>
          <w:rFonts w:ascii="Times New Roman" w:hAnsi="Times New Roman" w:cs="Times New Roman"/>
          <w:color w:val="000000" w:themeColor="text1"/>
          <w:sz w:val="20"/>
          <w:szCs w:val="20"/>
        </w:rPr>
        <w:t>What can be consented to? Briefing on the use of “rough sex” defences to violence’</w:t>
      </w:r>
      <w:r w:rsidRPr="00354AF6">
        <w:rPr>
          <w:rStyle w:val="normaltextrun"/>
          <w:rFonts w:ascii="Times New Roman" w:hAnsi="Times New Roman" w:cs="Times New Roman"/>
          <w:sz w:val="20"/>
          <w:szCs w:val="20"/>
        </w:rPr>
        <w:t xml:space="preserve"> (</w:t>
      </w:r>
      <w:r w:rsidR="00354AF6" w:rsidRPr="00354AF6">
        <w:rPr>
          <w:rStyle w:val="normaltextrun"/>
          <w:rFonts w:ascii="Times New Roman" w:hAnsi="Times New Roman" w:cs="Times New Roman"/>
          <w:sz w:val="20"/>
          <w:szCs w:val="20"/>
        </w:rPr>
        <w:t xml:space="preserve">February </w:t>
      </w:r>
      <w:r w:rsidRPr="00354AF6">
        <w:rPr>
          <w:rStyle w:val="normaltextrun"/>
          <w:rFonts w:ascii="Times New Roman" w:hAnsi="Times New Roman" w:cs="Times New Roman"/>
          <w:sz w:val="20"/>
          <w:szCs w:val="20"/>
        </w:rPr>
        <w:t>2020)</w:t>
      </w:r>
      <w:r w:rsidR="00354AF6" w:rsidRPr="00354AF6">
        <w:rPr>
          <w:rStyle w:val="normaltextrun"/>
          <w:rFonts w:ascii="Times New Roman" w:hAnsi="Times New Roman" w:cs="Times New Roman"/>
          <w:sz w:val="20"/>
          <w:szCs w:val="20"/>
        </w:rPr>
        <w:t xml:space="preserve"> </w:t>
      </w:r>
      <w:r w:rsidR="00354AF6" w:rsidRPr="00354AF6">
        <w:rPr>
          <w:rFonts w:ascii="Times New Roman" w:hAnsi="Times New Roman" w:cs="Times New Roman"/>
          <w:sz w:val="20"/>
          <w:szCs w:val="20"/>
        </w:rPr>
        <w:t>&lt;</w:t>
      </w:r>
      <w:hyperlink r:id="rId16" w:history="1">
        <w:r w:rsidR="00354AF6" w:rsidRPr="00354AF6">
          <w:rPr>
            <w:rStyle w:val="Hyperlink"/>
            <w:rFonts w:ascii="Times New Roman" w:hAnsi="Times New Roman" w:cs="Times New Roman"/>
            <w:sz w:val="20"/>
            <w:szCs w:val="20"/>
          </w:rPr>
          <w:t>https://static1.squarespace.com/static/5c49b798e749409bfb9b6ef2/t/5e4da72920c08f54b94d 91e4/1582147383202/WCCTT+briefing+sheet+2020+February.pdf</w:t>
        </w:r>
      </w:hyperlink>
      <w:r w:rsidRPr="00354AF6">
        <w:rPr>
          <w:rStyle w:val="normaltextrun"/>
          <w:rFonts w:ascii="Times New Roman" w:hAnsi="Times New Roman" w:cs="Times New Roman"/>
          <w:color w:val="000000" w:themeColor="text1"/>
          <w:sz w:val="20"/>
          <w:szCs w:val="20"/>
        </w:rPr>
        <w:t xml:space="preserve">&gt; </w:t>
      </w:r>
      <w:r w:rsidR="002D28BA" w:rsidRPr="00354AF6">
        <w:rPr>
          <w:rStyle w:val="normaltextrun"/>
          <w:rFonts w:ascii="Times New Roman" w:hAnsi="Times New Roman" w:cs="Times New Roman"/>
          <w:color w:val="000000" w:themeColor="text1"/>
          <w:sz w:val="20"/>
          <w:szCs w:val="20"/>
        </w:rPr>
        <w:t>A</w:t>
      </w:r>
      <w:r w:rsidRPr="00354AF6">
        <w:rPr>
          <w:rStyle w:val="normaltextrun"/>
          <w:rFonts w:ascii="Times New Roman" w:hAnsi="Times New Roman" w:cs="Times New Roman"/>
          <w:color w:val="000000" w:themeColor="text1"/>
          <w:sz w:val="20"/>
          <w:szCs w:val="20"/>
        </w:rPr>
        <w:t xml:space="preserve">ccessed </w:t>
      </w:r>
      <w:r w:rsidR="002D28BA" w:rsidRPr="00354AF6">
        <w:rPr>
          <w:rStyle w:val="normaltextrun"/>
          <w:rFonts w:ascii="Times New Roman" w:hAnsi="Times New Roman" w:cs="Times New Roman"/>
          <w:color w:val="000000" w:themeColor="text1"/>
          <w:sz w:val="20"/>
          <w:szCs w:val="20"/>
        </w:rPr>
        <w:t xml:space="preserve">on </w:t>
      </w:r>
      <w:r w:rsidRPr="00354AF6">
        <w:rPr>
          <w:rStyle w:val="normaltextrun"/>
          <w:rFonts w:ascii="Times New Roman" w:hAnsi="Times New Roman" w:cs="Times New Roman"/>
          <w:color w:val="000000" w:themeColor="text1"/>
          <w:sz w:val="20"/>
          <w:szCs w:val="20"/>
        </w:rPr>
        <w:t>6 December 2020 1,</w:t>
      </w:r>
      <w:r w:rsidR="002D28BA" w:rsidRPr="00354AF6">
        <w:rPr>
          <w:rStyle w:val="normaltextrun"/>
          <w:rFonts w:ascii="Times New Roman" w:hAnsi="Times New Roman" w:cs="Times New Roman"/>
          <w:color w:val="000000" w:themeColor="text1"/>
          <w:sz w:val="20"/>
          <w:szCs w:val="20"/>
        </w:rPr>
        <w:t xml:space="preserve"> </w:t>
      </w:r>
      <w:r w:rsidRPr="00354AF6">
        <w:rPr>
          <w:rStyle w:val="normaltextrun"/>
          <w:rFonts w:ascii="Times New Roman" w:hAnsi="Times New Roman" w:cs="Times New Roman"/>
          <w:color w:val="000000" w:themeColor="text1"/>
          <w:sz w:val="20"/>
          <w:szCs w:val="20"/>
        </w:rPr>
        <w:t>2.</w:t>
      </w:r>
    </w:p>
  </w:footnote>
  <w:footnote w:id="101">
    <w:p w14:paraId="7BF7DE82" w14:textId="15FE9338" w:rsidR="00EE36C7" w:rsidRPr="00F358B0" w:rsidRDefault="00EE36C7" w:rsidP="00F358B0">
      <w:pPr>
        <w:jc w:val="both"/>
        <w:rPr>
          <w:rFonts w:ascii="Times New Roman" w:hAnsi="Times New Roman" w:cs="Times New Roman"/>
          <w:color w:val="000000" w:themeColor="text1"/>
          <w:sz w:val="20"/>
          <w:szCs w:val="20"/>
        </w:rPr>
      </w:pPr>
      <w:r w:rsidRPr="00F358B0">
        <w:rPr>
          <w:rStyle w:val="FootnoteReference"/>
          <w:rFonts w:ascii="Times New Roman" w:hAnsi="Times New Roman" w:cs="Times New Roman"/>
          <w:sz w:val="20"/>
          <w:szCs w:val="20"/>
        </w:rPr>
        <w:footnoteRef/>
      </w:r>
      <w:r w:rsidR="00354AF6" w:rsidRPr="00F358B0">
        <w:rPr>
          <w:rFonts w:ascii="Times New Roman" w:hAnsi="Times New Roman" w:cs="Times New Roman"/>
          <w:sz w:val="20"/>
          <w:szCs w:val="20"/>
        </w:rPr>
        <w:t xml:space="preserve"> </w:t>
      </w:r>
      <w:r w:rsidR="00F358B0" w:rsidRPr="00F358B0">
        <w:rPr>
          <w:rFonts w:ascii="Times New Roman" w:hAnsi="Times New Roman" w:cs="Times New Roman"/>
          <w:color w:val="000000" w:themeColor="text1"/>
          <w:sz w:val="20"/>
          <w:szCs w:val="20"/>
        </w:rPr>
        <w:t>House of Commons, Hansard Domestic Abuse Bill (Tenth sitting)</w:t>
      </w:r>
      <w:r w:rsidR="00F358B0">
        <w:rPr>
          <w:rFonts w:ascii="Times New Roman" w:hAnsi="Times New Roman" w:cs="Times New Roman"/>
          <w:color w:val="000000" w:themeColor="text1"/>
          <w:sz w:val="20"/>
          <w:szCs w:val="20"/>
        </w:rPr>
        <w:t xml:space="preserve"> </w:t>
      </w:r>
      <w:r w:rsidR="00F358B0" w:rsidRPr="00F358B0">
        <w:rPr>
          <w:rFonts w:ascii="Times New Roman" w:hAnsi="Times New Roman" w:cs="Times New Roman"/>
          <w:color w:val="000000" w:themeColor="text1"/>
          <w:sz w:val="20"/>
          <w:szCs w:val="20"/>
        </w:rPr>
        <w:t>Debated on Tuesday 16 June 2020</w:t>
      </w:r>
      <w:r w:rsidR="00F358B0">
        <w:rPr>
          <w:rFonts w:ascii="Times New Roman" w:hAnsi="Times New Roman" w:cs="Times New Roman"/>
          <w:color w:val="000000" w:themeColor="text1"/>
          <w:sz w:val="20"/>
          <w:szCs w:val="20"/>
        </w:rPr>
        <w:t xml:space="preserve">, </w:t>
      </w:r>
      <w:r w:rsidR="007D4EFE">
        <w:rPr>
          <w:rFonts w:ascii="Times New Roman" w:hAnsi="Times New Roman" w:cs="Times New Roman"/>
          <w:color w:val="000000" w:themeColor="text1"/>
          <w:sz w:val="20"/>
          <w:szCs w:val="20"/>
        </w:rPr>
        <w:t>&lt;</w:t>
      </w:r>
      <w:hyperlink r:id="rId17" w:history="1">
        <w:r w:rsidR="007D4EFE" w:rsidRPr="00532BEE">
          <w:rPr>
            <w:rStyle w:val="Hyperlink"/>
            <w:rFonts w:ascii="Times New Roman" w:hAnsi="Times New Roman" w:cs="Times New Roman"/>
            <w:sz w:val="20"/>
            <w:szCs w:val="20"/>
          </w:rPr>
          <w:t>https://hansard.parliament.uk/Commons/2020-06-16/debates/3fa90c32-4bc5-4477-ab1e-aaf665da56e6/DomesticAbuseBill(TenthSitting)</w:t>
        </w:r>
      </w:hyperlink>
      <w:r w:rsidR="007D4EFE">
        <w:rPr>
          <w:rFonts w:ascii="Times New Roman" w:hAnsi="Times New Roman" w:cs="Times New Roman"/>
          <w:color w:val="000000" w:themeColor="text1"/>
          <w:sz w:val="20"/>
          <w:szCs w:val="20"/>
        </w:rPr>
        <w:t>&gt;</w:t>
      </w:r>
      <w:r w:rsidR="00F358B0">
        <w:rPr>
          <w:rFonts w:ascii="Times New Roman" w:hAnsi="Times New Roman" w:cs="Times New Roman"/>
          <w:color w:val="000000" w:themeColor="text1"/>
          <w:sz w:val="20"/>
          <w:szCs w:val="20"/>
        </w:rPr>
        <w:t xml:space="preserve"> Accessed 21 December 2020. </w:t>
      </w:r>
    </w:p>
  </w:footnote>
  <w:footnote w:id="102">
    <w:p w14:paraId="6F202B8B" w14:textId="780F8B4D" w:rsidR="00EE36C7" w:rsidRPr="00354AF6" w:rsidRDefault="00EE36C7" w:rsidP="00EE36C7">
      <w:pPr>
        <w:jc w:val="both"/>
        <w:rPr>
          <w:rFonts w:ascii="Times New Roman" w:hAnsi="Times New Roman" w:cs="Times New Roman"/>
          <w:sz w:val="20"/>
          <w:szCs w:val="20"/>
          <w:highlight w:val="red"/>
        </w:rPr>
      </w:pPr>
      <w:r w:rsidRPr="00F358B0">
        <w:rPr>
          <w:rStyle w:val="FootnoteReference"/>
          <w:rFonts w:ascii="Times New Roman" w:hAnsi="Times New Roman" w:cs="Times New Roman"/>
          <w:sz w:val="20"/>
          <w:szCs w:val="20"/>
        </w:rPr>
        <w:footnoteRef/>
      </w:r>
      <w:r w:rsidRPr="00F358B0">
        <w:rPr>
          <w:rFonts w:ascii="Times New Roman" w:hAnsi="Times New Roman" w:cs="Times New Roman"/>
          <w:sz w:val="20"/>
          <w:szCs w:val="20"/>
        </w:rPr>
        <w:t xml:space="preserve"> </w:t>
      </w:r>
      <w:r w:rsidRPr="00F358B0">
        <w:rPr>
          <w:rStyle w:val="normaltextrun"/>
          <w:rFonts w:ascii="Times New Roman" w:hAnsi="Times New Roman" w:cs="Times New Roman"/>
          <w:color w:val="000000" w:themeColor="text1"/>
          <w:sz w:val="20"/>
          <w:szCs w:val="20"/>
        </w:rPr>
        <w:t>Committee for Justice, ‘Report on the Domestic Abuse and Family Proceedings Bill’ (2020) Northern Ireland Assembly 48/17-22</w:t>
      </w:r>
      <w:r w:rsidR="00F358B0">
        <w:rPr>
          <w:rStyle w:val="normaltextrun"/>
          <w:rFonts w:ascii="Times New Roman" w:hAnsi="Times New Roman" w:cs="Times New Roman"/>
          <w:color w:val="000000" w:themeColor="text1"/>
          <w:sz w:val="20"/>
          <w:szCs w:val="20"/>
        </w:rPr>
        <w:t xml:space="preserve">, </w:t>
      </w:r>
      <w:r w:rsidR="007D4EFE">
        <w:rPr>
          <w:rStyle w:val="normaltextrun"/>
          <w:rFonts w:ascii="Times New Roman" w:hAnsi="Times New Roman" w:cs="Times New Roman"/>
          <w:color w:val="000000" w:themeColor="text1"/>
          <w:sz w:val="20"/>
          <w:szCs w:val="20"/>
        </w:rPr>
        <w:t>[</w:t>
      </w:r>
      <w:r w:rsidR="00F358B0" w:rsidRPr="00F358B0">
        <w:rPr>
          <w:rStyle w:val="normaltextrun"/>
          <w:rFonts w:ascii="Times New Roman" w:hAnsi="Times New Roman" w:cs="Times New Roman"/>
          <w:color w:val="000000" w:themeColor="text1"/>
          <w:sz w:val="20"/>
          <w:szCs w:val="20"/>
        </w:rPr>
        <w:t>636</w:t>
      </w:r>
      <w:r w:rsidR="007D4EFE">
        <w:rPr>
          <w:rStyle w:val="normaltextrun"/>
          <w:rFonts w:ascii="Times New Roman" w:hAnsi="Times New Roman" w:cs="Times New Roman"/>
          <w:color w:val="000000" w:themeColor="text1"/>
          <w:sz w:val="20"/>
          <w:szCs w:val="20"/>
        </w:rPr>
        <w:t>]</w:t>
      </w:r>
      <w:r w:rsidR="00F358B0" w:rsidRPr="00F358B0">
        <w:rPr>
          <w:rStyle w:val="normaltextrun"/>
          <w:rFonts w:ascii="Times New Roman" w:hAnsi="Times New Roman" w:cs="Times New Roman"/>
          <w:color w:val="000000" w:themeColor="text1"/>
          <w:sz w:val="20"/>
          <w:szCs w:val="20"/>
        </w:rPr>
        <w:t>.</w:t>
      </w:r>
      <w:r w:rsidR="00F358B0" w:rsidRPr="00F358B0">
        <w:rPr>
          <w:rStyle w:val="eop"/>
          <w:rFonts w:ascii="Times New Roman" w:hAnsi="Times New Roman" w:cs="Times New Roman"/>
          <w:color w:val="000000" w:themeColor="text1"/>
          <w:sz w:val="20"/>
          <w:szCs w:val="20"/>
        </w:rPr>
        <w:t> </w:t>
      </w:r>
      <w:r w:rsidRPr="00F358B0">
        <w:rPr>
          <w:rStyle w:val="normaltextrun"/>
          <w:rFonts w:ascii="Times New Roman" w:hAnsi="Times New Roman" w:cs="Times New Roman"/>
          <w:color w:val="000000" w:themeColor="text1"/>
          <w:sz w:val="20"/>
          <w:szCs w:val="20"/>
        </w:rPr>
        <w:t xml:space="preserve"> </w:t>
      </w:r>
      <w:r w:rsidR="007D4EFE">
        <w:rPr>
          <w:rStyle w:val="normaltextrun"/>
          <w:rFonts w:ascii="Times New Roman" w:hAnsi="Times New Roman" w:cs="Times New Roman"/>
          <w:color w:val="000000" w:themeColor="text1"/>
          <w:sz w:val="20"/>
          <w:szCs w:val="20"/>
        </w:rPr>
        <w:t>&lt;</w:t>
      </w:r>
      <w:hyperlink r:id="rId18" w:history="1">
        <w:r w:rsidR="007D4EFE" w:rsidRPr="00532BEE">
          <w:rPr>
            <w:rStyle w:val="Hyperlink"/>
            <w:rFonts w:ascii="Times New Roman" w:hAnsi="Times New Roman" w:cs="Times New Roman"/>
            <w:sz w:val="20"/>
            <w:szCs w:val="20"/>
          </w:rPr>
          <w:t>http://www.niassembly.gov.uk/assembly-business/committees/2017-2022/justice/reports/domestic-abuse-and-family-proceedings-bill/</w:t>
        </w:r>
      </w:hyperlink>
      <w:r w:rsidR="00F358B0" w:rsidRPr="00F358B0">
        <w:rPr>
          <w:rStyle w:val="normaltextrun"/>
          <w:rFonts w:ascii="Times New Roman" w:hAnsi="Times New Roman" w:cs="Times New Roman"/>
          <w:color w:val="000000" w:themeColor="text1"/>
          <w:sz w:val="20"/>
          <w:szCs w:val="20"/>
        </w:rPr>
        <w:t xml:space="preserve"> </w:t>
      </w:r>
      <w:r w:rsidR="007D4EFE">
        <w:rPr>
          <w:rStyle w:val="normaltextrun"/>
          <w:rFonts w:ascii="Times New Roman" w:hAnsi="Times New Roman" w:cs="Times New Roman"/>
          <w:color w:val="000000" w:themeColor="text1"/>
          <w:sz w:val="20"/>
          <w:szCs w:val="20"/>
        </w:rPr>
        <w:t>&gt;</w:t>
      </w:r>
      <w:r w:rsidRPr="00F358B0">
        <w:rPr>
          <w:rStyle w:val="normaltextrun"/>
          <w:rFonts w:ascii="Times New Roman" w:hAnsi="Times New Roman" w:cs="Times New Roman"/>
          <w:color w:val="000000" w:themeColor="text1"/>
          <w:sz w:val="20"/>
          <w:szCs w:val="20"/>
        </w:rPr>
        <w:t xml:space="preserve"> </w:t>
      </w:r>
      <w:r w:rsidR="002D28BA" w:rsidRPr="00F358B0">
        <w:rPr>
          <w:rStyle w:val="normaltextrun"/>
          <w:rFonts w:ascii="Times New Roman" w:hAnsi="Times New Roman" w:cs="Times New Roman"/>
          <w:color w:val="000000" w:themeColor="text1"/>
          <w:sz w:val="20"/>
          <w:szCs w:val="20"/>
        </w:rPr>
        <w:t>A</w:t>
      </w:r>
      <w:r w:rsidRPr="00F358B0">
        <w:rPr>
          <w:rStyle w:val="normaltextrun"/>
          <w:rFonts w:ascii="Times New Roman" w:hAnsi="Times New Roman" w:cs="Times New Roman"/>
          <w:color w:val="000000" w:themeColor="text1"/>
          <w:sz w:val="20"/>
          <w:szCs w:val="20"/>
        </w:rPr>
        <w:t xml:space="preserve">ccessed </w:t>
      </w:r>
      <w:r w:rsidR="002D28BA" w:rsidRPr="00F358B0">
        <w:rPr>
          <w:rStyle w:val="normaltextrun"/>
          <w:rFonts w:ascii="Times New Roman" w:hAnsi="Times New Roman" w:cs="Times New Roman"/>
          <w:color w:val="000000" w:themeColor="text1"/>
          <w:sz w:val="20"/>
          <w:szCs w:val="20"/>
        </w:rPr>
        <w:t xml:space="preserve">on </w:t>
      </w:r>
      <w:r w:rsidRPr="00F358B0">
        <w:rPr>
          <w:rStyle w:val="normaltextrun"/>
          <w:rFonts w:ascii="Times New Roman" w:hAnsi="Times New Roman" w:cs="Times New Roman"/>
          <w:color w:val="000000" w:themeColor="text1"/>
          <w:sz w:val="20"/>
          <w:szCs w:val="20"/>
        </w:rPr>
        <w:t xml:space="preserve">6 December 2020,  </w:t>
      </w:r>
    </w:p>
  </w:footnote>
  <w:footnote w:id="103">
    <w:p w14:paraId="40335953" w14:textId="691167F0" w:rsidR="00EE36C7" w:rsidRPr="00354AF6" w:rsidRDefault="00EE36C7" w:rsidP="00EE36C7">
      <w:pPr>
        <w:jc w:val="both"/>
        <w:rPr>
          <w:rFonts w:ascii="Times New Roman" w:hAnsi="Times New Roman" w:cs="Times New Roman"/>
          <w:color w:val="000000" w:themeColor="text1"/>
          <w:sz w:val="20"/>
          <w:szCs w:val="20"/>
          <w:highlight w:val="red"/>
        </w:rPr>
      </w:pPr>
      <w:r w:rsidRPr="00F358B0">
        <w:rPr>
          <w:rStyle w:val="FootnoteReference"/>
          <w:rFonts w:ascii="Times New Roman" w:hAnsi="Times New Roman" w:cs="Times New Roman"/>
          <w:color w:val="000000" w:themeColor="text1"/>
          <w:sz w:val="20"/>
          <w:szCs w:val="20"/>
        </w:rPr>
        <w:footnoteRef/>
      </w:r>
      <w:r w:rsidRPr="00F358B0">
        <w:rPr>
          <w:rFonts w:ascii="Times New Roman" w:hAnsi="Times New Roman" w:cs="Times New Roman"/>
          <w:color w:val="000000" w:themeColor="text1"/>
          <w:sz w:val="20"/>
          <w:szCs w:val="20"/>
        </w:rPr>
        <w:t xml:space="preserve"> </w:t>
      </w:r>
      <w:r w:rsidR="00F358B0" w:rsidRPr="00F358B0">
        <w:rPr>
          <w:rStyle w:val="normaltextrun"/>
          <w:rFonts w:ascii="Times New Roman" w:hAnsi="Times New Roman" w:cs="Times New Roman"/>
          <w:color w:val="000000" w:themeColor="text1"/>
          <w:sz w:val="20"/>
          <w:szCs w:val="20"/>
        </w:rPr>
        <w:t xml:space="preserve">Ibid, </w:t>
      </w:r>
      <w:r w:rsidR="007D4EFE">
        <w:rPr>
          <w:rStyle w:val="normaltextrun"/>
          <w:rFonts w:ascii="Times New Roman" w:hAnsi="Times New Roman" w:cs="Times New Roman"/>
          <w:color w:val="000000" w:themeColor="text1"/>
          <w:sz w:val="20"/>
          <w:szCs w:val="20"/>
        </w:rPr>
        <w:t>[</w:t>
      </w:r>
      <w:r w:rsidR="00F358B0" w:rsidRPr="00F358B0">
        <w:rPr>
          <w:rStyle w:val="normaltextrun"/>
          <w:rFonts w:ascii="Times New Roman" w:hAnsi="Times New Roman" w:cs="Times New Roman"/>
          <w:color w:val="000000" w:themeColor="text1"/>
          <w:sz w:val="20"/>
          <w:szCs w:val="20"/>
        </w:rPr>
        <w:t>639</w:t>
      </w:r>
      <w:r w:rsidR="007D4EFE">
        <w:rPr>
          <w:rStyle w:val="normaltextrun"/>
          <w:rFonts w:ascii="Times New Roman" w:hAnsi="Times New Roman" w:cs="Times New Roman"/>
          <w:color w:val="000000" w:themeColor="text1"/>
          <w:sz w:val="20"/>
          <w:szCs w:val="20"/>
        </w:rPr>
        <w:t>]</w:t>
      </w:r>
      <w:r w:rsidR="00F358B0" w:rsidRPr="00F358B0">
        <w:rPr>
          <w:rStyle w:val="normaltextrun"/>
          <w:rFonts w:ascii="Times New Roman" w:hAnsi="Times New Roman" w:cs="Times New Roman"/>
          <w:color w:val="000000" w:themeColor="text1"/>
          <w:sz w:val="20"/>
          <w:szCs w:val="20"/>
        </w:rPr>
        <w:t>.</w:t>
      </w:r>
    </w:p>
  </w:footnote>
  <w:footnote w:id="104">
    <w:p w14:paraId="0CF6994D" w14:textId="0AFF0D14" w:rsidR="00EE36C7" w:rsidRPr="00354AF6" w:rsidRDefault="00EE36C7" w:rsidP="00EE36C7">
      <w:pPr>
        <w:jc w:val="both"/>
        <w:rPr>
          <w:rFonts w:ascii="Times New Roman" w:hAnsi="Times New Roman" w:cs="Times New Roman"/>
          <w:color w:val="000000" w:themeColor="text1"/>
          <w:sz w:val="20"/>
          <w:szCs w:val="20"/>
          <w:highlight w:val="red"/>
          <w:u w:val="single"/>
        </w:rPr>
      </w:pPr>
      <w:r w:rsidRPr="00F738A3">
        <w:rPr>
          <w:rStyle w:val="FootnoteReference"/>
          <w:rFonts w:ascii="Times New Roman" w:hAnsi="Times New Roman" w:cs="Times New Roman"/>
          <w:color w:val="000000" w:themeColor="text1"/>
          <w:sz w:val="20"/>
          <w:szCs w:val="20"/>
        </w:rPr>
        <w:footnoteRef/>
      </w:r>
      <w:r w:rsidRPr="00F738A3">
        <w:rPr>
          <w:rFonts w:ascii="Times New Roman" w:hAnsi="Times New Roman" w:cs="Times New Roman"/>
          <w:color w:val="000000" w:themeColor="text1"/>
          <w:sz w:val="20"/>
          <w:szCs w:val="20"/>
        </w:rPr>
        <w:t xml:space="preserve"> </w:t>
      </w:r>
      <w:r w:rsidRPr="00F738A3">
        <w:rPr>
          <w:rStyle w:val="normaltextrun"/>
          <w:rFonts w:ascii="Times New Roman" w:hAnsi="Times New Roman" w:cs="Times New Roman"/>
          <w:color w:val="000000" w:themeColor="text1"/>
          <w:sz w:val="20"/>
          <w:szCs w:val="20"/>
        </w:rPr>
        <w:t>Written evidence submitted by the Centre for Women’s Justice (DAB06) (2020) UK Parliament: submission to Domestic Abuse Bill Committee</w:t>
      </w:r>
      <w:r w:rsidR="00F358B0">
        <w:rPr>
          <w:rStyle w:val="normaltextrun"/>
          <w:rFonts w:ascii="Times New Roman" w:hAnsi="Times New Roman" w:cs="Times New Roman"/>
          <w:color w:val="000000" w:themeColor="text1"/>
          <w:sz w:val="20"/>
          <w:szCs w:val="20"/>
        </w:rPr>
        <w:t xml:space="preserve">, </w:t>
      </w:r>
      <w:r w:rsidR="007D4EFE">
        <w:rPr>
          <w:rStyle w:val="normaltextrun"/>
          <w:rFonts w:ascii="Times New Roman" w:hAnsi="Times New Roman" w:cs="Times New Roman"/>
          <w:color w:val="000000" w:themeColor="text1"/>
          <w:sz w:val="20"/>
          <w:szCs w:val="20"/>
        </w:rPr>
        <w:t>[</w:t>
      </w:r>
      <w:r w:rsidR="00F358B0">
        <w:rPr>
          <w:rStyle w:val="normaltextrun"/>
          <w:rFonts w:ascii="Times New Roman" w:hAnsi="Times New Roman" w:cs="Times New Roman"/>
          <w:color w:val="000000" w:themeColor="text1"/>
          <w:sz w:val="20"/>
          <w:szCs w:val="20"/>
        </w:rPr>
        <w:t>11</w:t>
      </w:r>
      <w:r w:rsidR="007D4EFE">
        <w:rPr>
          <w:rStyle w:val="normaltextrun"/>
          <w:rFonts w:ascii="Times New Roman" w:hAnsi="Times New Roman" w:cs="Times New Roman"/>
          <w:color w:val="000000" w:themeColor="text1"/>
          <w:sz w:val="20"/>
          <w:szCs w:val="20"/>
        </w:rPr>
        <w:t>]</w:t>
      </w:r>
      <w:r w:rsidR="00F358B0">
        <w:rPr>
          <w:rStyle w:val="normaltextrun"/>
          <w:rFonts w:ascii="Times New Roman" w:hAnsi="Times New Roman" w:cs="Times New Roman"/>
          <w:color w:val="000000" w:themeColor="text1"/>
          <w:sz w:val="20"/>
          <w:szCs w:val="20"/>
        </w:rPr>
        <w:t>.</w:t>
      </w:r>
      <w:r w:rsidRPr="00F738A3">
        <w:rPr>
          <w:rStyle w:val="normaltextrun"/>
          <w:rFonts w:ascii="Times New Roman" w:hAnsi="Times New Roman" w:cs="Times New Roman"/>
          <w:color w:val="000000" w:themeColor="text1"/>
          <w:sz w:val="20"/>
          <w:szCs w:val="20"/>
        </w:rPr>
        <w:t xml:space="preserve"> &lt;</w:t>
      </w:r>
      <w:hyperlink r:id="rId19" w:history="1">
        <w:r w:rsidR="00F738A3" w:rsidRPr="00F738A3">
          <w:rPr>
            <w:rStyle w:val="Hyperlink"/>
            <w:rFonts w:ascii="Times New Roman" w:hAnsi="Times New Roman" w:cs="Times New Roman"/>
            <w:sz w:val="20"/>
            <w:szCs w:val="20"/>
          </w:rPr>
          <w:t>https://publications.parliament.uk/pa/cm5801/cmpublic/DomesticAbuse/ memo/DAB06.pdf</w:t>
        </w:r>
      </w:hyperlink>
      <w:r w:rsidRPr="00F738A3">
        <w:rPr>
          <w:rStyle w:val="normaltextrun"/>
          <w:rFonts w:ascii="Times New Roman" w:hAnsi="Times New Roman" w:cs="Times New Roman"/>
          <w:color w:val="000000" w:themeColor="text1"/>
          <w:sz w:val="20"/>
          <w:szCs w:val="20"/>
        </w:rPr>
        <w:t>&gt; accessed 6 December 2020</w:t>
      </w:r>
      <w:r w:rsidR="00F358B0">
        <w:rPr>
          <w:rStyle w:val="normaltextrun"/>
          <w:rFonts w:ascii="Times New Roman" w:hAnsi="Times New Roman" w:cs="Times New Roman"/>
          <w:color w:val="000000" w:themeColor="text1"/>
          <w:sz w:val="20"/>
          <w:szCs w:val="20"/>
        </w:rPr>
        <w:t>.</w:t>
      </w:r>
    </w:p>
  </w:footnote>
  <w:footnote w:id="105">
    <w:p w14:paraId="6B63D1C6" w14:textId="2DB5B647" w:rsidR="00EE36C7" w:rsidRPr="00354AF6" w:rsidRDefault="00EE36C7" w:rsidP="00EE36C7">
      <w:pPr>
        <w:pStyle w:val="FootnoteText"/>
        <w:jc w:val="both"/>
        <w:rPr>
          <w:rFonts w:ascii="Times New Roman" w:hAnsi="Times New Roman" w:cs="Times New Roman"/>
          <w:color w:val="000000" w:themeColor="text1"/>
          <w:highlight w:val="red"/>
        </w:rPr>
      </w:pPr>
      <w:r w:rsidRPr="00F738A3">
        <w:rPr>
          <w:rStyle w:val="FootnoteReference"/>
          <w:rFonts w:ascii="Times New Roman" w:hAnsi="Times New Roman" w:cs="Times New Roman"/>
          <w:color w:val="000000" w:themeColor="text1"/>
        </w:rPr>
        <w:footnoteRef/>
      </w:r>
      <w:r w:rsidRPr="00F738A3">
        <w:rPr>
          <w:rFonts w:ascii="Times New Roman" w:hAnsi="Times New Roman" w:cs="Times New Roman"/>
          <w:color w:val="000000" w:themeColor="text1"/>
        </w:rPr>
        <w:t xml:space="preserve"> The Law Commission of New Zealand, </w:t>
      </w:r>
      <w:r w:rsidRPr="00F738A3">
        <w:rPr>
          <w:rStyle w:val="normaltextrun"/>
          <w:rFonts w:ascii="Times New Roman" w:hAnsi="Times New Roman" w:cs="Times New Roman"/>
          <w:color w:val="000000" w:themeColor="text1"/>
        </w:rPr>
        <w:t xml:space="preserve">‘Strangulation: The Case for a New Offence’ (2016) </w:t>
      </w:r>
      <w:r w:rsidR="007D4EFE" w:rsidRPr="00F738A3">
        <w:rPr>
          <w:rStyle w:val="normaltextrun"/>
          <w:rFonts w:ascii="Times New Roman" w:hAnsi="Times New Roman" w:cs="Times New Roman"/>
          <w:color w:val="000000" w:themeColor="text1"/>
        </w:rPr>
        <w:t>[1.18]</w:t>
      </w:r>
      <w:r w:rsidR="007D4EFE">
        <w:rPr>
          <w:rStyle w:val="normaltextrun"/>
          <w:rFonts w:ascii="Times New Roman" w:hAnsi="Times New Roman" w:cs="Times New Roman"/>
          <w:color w:val="000000" w:themeColor="text1"/>
        </w:rPr>
        <w:t xml:space="preserve"> </w:t>
      </w:r>
      <w:r w:rsidR="00F738A3" w:rsidRPr="00F738A3">
        <w:rPr>
          <w:rStyle w:val="normaltextrun"/>
          <w:rFonts w:ascii="Times New Roman" w:hAnsi="Times New Roman" w:cs="Times New Roman"/>
          <w:color w:val="000000" w:themeColor="text1"/>
        </w:rPr>
        <w:t>&lt;</w:t>
      </w:r>
      <w:hyperlink r:id="rId20" w:history="1">
        <w:r w:rsidR="00F738A3" w:rsidRPr="00F738A3">
          <w:rPr>
            <w:rStyle w:val="Hyperlink"/>
            <w:rFonts w:ascii="Times New Roman" w:hAnsi="Times New Roman" w:cs="Times New Roman"/>
          </w:rPr>
          <w:t>https://www.lawcom.govt.nz/sites/default/files/projectAvailableFormats/NZLC-R138.pdf</w:t>
        </w:r>
      </w:hyperlink>
      <w:r w:rsidR="00F738A3" w:rsidRPr="00F738A3">
        <w:rPr>
          <w:rStyle w:val="normaltextrun"/>
          <w:rFonts w:ascii="Times New Roman" w:hAnsi="Times New Roman" w:cs="Times New Roman"/>
          <w:color w:val="000000" w:themeColor="text1"/>
        </w:rPr>
        <w:t>&gt; A</w:t>
      </w:r>
      <w:r w:rsidRPr="00F738A3">
        <w:rPr>
          <w:rStyle w:val="normaltextrun"/>
          <w:rFonts w:ascii="Times New Roman" w:hAnsi="Times New Roman" w:cs="Times New Roman"/>
          <w:color w:val="000000" w:themeColor="text1"/>
        </w:rPr>
        <w:t>ccessed</w:t>
      </w:r>
      <w:r w:rsidR="00F738A3" w:rsidRPr="00F738A3">
        <w:rPr>
          <w:rStyle w:val="normaltextrun"/>
          <w:rFonts w:ascii="Times New Roman" w:hAnsi="Times New Roman" w:cs="Times New Roman"/>
          <w:color w:val="000000" w:themeColor="text1"/>
        </w:rPr>
        <w:t xml:space="preserve"> on</w:t>
      </w:r>
      <w:r w:rsidRPr="00F738A3">
        <w:rPr>
          <w:rStyle w:val="normaltextrun"/>
          <w:rFonts w:ascii="Times New Roman" w:hAnsi="Times New Roman" w:cs="Times New Roman"/>
          <w:color w:val="000000" w:themeColor="text1"/>
        </w:rPr>
        <w:t xml:space="preserve"> 6 December 2020 </w:t>
      </w:r>
    </w:p>
  </w:footnote>
  <w:footnote w:id="106">
    <w:p w14:paraId="6F73789C" w14:textId="61FF3264" w:rsidR="00EE36C7" w:rsidRPr="00DB06B6" w:rsidRDefault="00EE36C7" w:rsidP="00EE36C7">
      <w:pPr>
        <w:jc w:val="both"/>
        <w:rPr>
          <w:rFonts w:ascii="Times New Roman" w:hAnsi="Times New Roman" w:cs="Times New Roman"/>
          <w:sz w:val="20"/>
          <w:szCs w:val="20"/>
        </w:rPr>
      </w:pPr>
      <w:r w:rsidRPr="00F738A3">
        <w:rPr>
          <w:rStyle w:val="FootnoteReference"/>
          <w:rFonts w:ascii="Times New Roman" w:hAnsi="Times New Roman" w:cs="Times New Roman"/>
          <w:color w:val="000000" w:themeColor="text1"/>
          <w:sz w:val="20"/>
          <w:szCs w:val="20"/>
        </w:rPr>
        <w:footnoteRef/>
      </w:r>
      <w:r w:rsidRPr="00F738A3">
        <w:rPr>
          <w:rFonts w:ascii="Times New Roman" w:hAnsi="Times New Roman" w:cs="Times New Roman"/>
          <w:color w:val="000000" w:themeColor="text1"/>
          <w:sz w:val="20"/>
          <w:szCs w:val="20"/>
        </w:rPr>
        <w:t xml:space="preserve"> </w:t>
      </w:r>
      <w:r w:rsidR="00F738A3" w:rsidRPr="00F738A3">
        <w:rPr>
          <w:rStyle w:val="normaltextrun"/>
          <w:rFonts w:ascii="Times New Roman" w:hAnsi="Times New Roman" w:cs="Times New Roman"/>
          <w:color w:val="000000" w:themeColor="text1"/>
          <w:sz w:val="20"/>
          <w:szCs w:val="20"/>
        </w:rPr>
        <w:t>Written evidence submitted by the Centre for Women’s Justice (n 10</w:t>
      </w:r>
      <w:r w:rsidR="007D4EFE">
        <w:rPr>
          <w:rStyle w:val="normaltextrun"/>
          <w:rFonts w:ascii="Times New Roman" w:hAnsi="Times New Roman" w:cs="Times New Roman"/>
          <w:color w:val="000000" w:themeColor="text1"/>
          <w:sz w:val="20"/>
          <w:szCs w:val="20"/>
        </w:rPr>
        <w:t>4</w:t>
      </w:r>
      <w:r w:rsidR="00F738A3" w:rsidRPr="00F738A3">
        <w:rPr>
          <w:rStyle w:val="normaltextrun"/>
          <w:rFonts w:ascii="Times New Roman" w:hAnsi="Times New Roman" w:cs="Times New Roman"/>
          <w:color w:val="000000" w:themeColor="text1"/>
          <w:sz w:val="20"/>
          <w:szCs w:val="20"/>
        </w:rPr>
        <w:t>) [</w:t>
      </w:r>
      <w:r w:rsidRPr="00F738A3">
        <w:rPr>
          <w:rStyle w:val="normaltextrun"/>
          <w:rFonts w:ascii="Times New Roman" w:hAnsi="Times New Roman" w:cs="Times New Roman"/>
          <w:color w:val="000000" w:themeColor="text1"/>
          <w:sz w:val="20"/>
          <w:szCs w:val="20"/>
        </w:rPr>
        <w:t>7].</w:t>
      </w:r>
      <w:r w:rsidR="008205C8" w:rsidRPr="00F738A3">
        <w:rPr>
          <w:rStyle w:val="normaltextrun"/>
          <w:rFonts w:ascii="Times New Roman" w:hAnsi="Times New Roman" w:cs="Times New Roman"/>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26E"/>
    <w:multiLevelType w:val="multilevel"/>
    <w:tmpl w:val="AFA0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D6D03"/>
    <w:multiLevelType w:val="hybridMultilevel"/>
    <w:tmpl w:val="50A40C3A"/>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524D3"/>
    <w:multiLevelType w:val="multilevel"/>
    <w:tmpl w:val="E358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65D9D"/>
    <w:multiLevelType w:val="multilevel"/>
    <w:tmpl w:val="31C2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B77C97"/>
    <w:multiLevelType w:val="multilevel"/>
    <w:tmpl w:val="F0DC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392505"/>
    <w:multiLevelType w:val="multilevel"/>
    <w:tmpl w:val="B218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433C46"/>
    <w:multiLevelType w:val="hybridMultilevel"/>
    <w:tmpl w:val="D126205A"/>
    <w:lvl w:ilvl="0" w:tplc="7CF8B5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53"/>
    <w:rsid w:val="00000C2B"/>
    <w:rsid w:val="00002E91"/>
    <w:rsid w:val="00083E16"/>
    <w:rsid w:val="000A1551"/>
    <w:rsid w:val="000E56F4"/>
    <w:rsid w:val="00127CA8"/>
    <w:rsid w:val="00152608"/>
    <w:rsid w:val="00153101"/>
    <w:rsid w:val="001C4A14"/>
    <w:rsid w:val="00214C69"/>
    <w:rsid w:val="002470A5"/>
    <w:rsid w:val="002721C6"/>
    <w:rsid w:val="00273E9E"/>
    <w:rsid w:val="00277B18"/>
    <w:rsid w:val="002D28BA"/>
    <w:rsid w:val="003300DC"/>
    <w:rsid w:val="00354AF6"/>
    <w:rsid w:val="00385CDF"/>
    <w:rsid w:val="00393107"/>
    <w:rsid w:val="0039492B"/>
    <w:rsid w:val="003A4D49"/>
    <w:rsid w:val="003E40C0"/>
    <w:rsid w:val="004E5FE8"/>
    <w:rsid w:val="004E7DDC"/>
    <w:rsid w:val="004F5C55"/>
    <w:rsid w:val="00517132"/>
    <w:rsid w:val="005173EF"/>
    <w:rsid w:val="00524945"/>
    <w:rsid w:val="0055658C"/>
    <w:rsid w:val="00691E53"/>
    <w:rsid w:val="006931F7"/>
    <w:rsid w:val="00753C5C"/>
    <w:rsid w:val="007709C4"/>
    <w:rsid w:val="007D4EFE"/>
    <w:rsid w:val="007E7313"/>
    <w:rsid w:val="008205C8"/>
    <w:rsid w:val="00843343"/>
    <w:rsid w:val="008C0E79"/>
    <w:rsid w:val="008D2D21"/>
    <w:rsid w:val="008E464A"/>
    <w:rsid w:val="00931E3C"/>
    <w:rsid w:val="0094777A"/>
    <w:rsid w:val="00990053"/>
    <w:rsid w:val="00993D3D"/>
    <w:rsid w:val="009A780F"/>
    <w:rsid w:val="009C41AA"/>
    <w:rsid w:val="00A1267B"/>
    <w:rsid w:val="00A51AB9"/>
    <w:rsid w:val="00A6757D"/>
    <w:rsid w:val="00B2051F"/>
    <w:rsid w:val="00B51BAD"/>
    <w:rsid w:val="00B83D21"/>
    <w:rsid w:val="00B939F6"/>
    <w:rsid w:val="00B96585"/>
    <w:rsid w:val="00BC15D3"/>
    <w:rsid w:val="00BF4A05"/>
    <w:rsid w:val="00C62805"/>
    <w:rsid w:val="00C8738F"/>
    <w:rsid w:val="00C94997"/>
    <w:rsid w:val="00CB21EF"/>
    <w:rsid w:val="00CB6F21"/>
    <w:rsid w:val="00CC30DF"/>
    <w:rsid w:val="00D94015"/>
    <w:rsid w:val="00DE4345"/>
    <w:rsid w:val="00E6382B"/>
    <w:rsid w:val="00E74093"/>
    <w:rsid w:val="00ED3B8B"/>
    <w:rsid w:val="00EE36C7"/>
    <w:rsid w:val="00F2782C"/>
    <w:rsid w:val="00F358B0"/>
    <w:rsid w:val="00F569FD"/>
    <w:rsid w:val="00F738A3"/>
    <w:rsid w:val="00F83E4E"/>
    <w:rsid w:val="00FD230F"/>
    <w:rsid w:val="00FF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1606"/>
  <w15:chartTrackingRefBased/>
  <w15:docId w15:val="{21A77E7E-774D-3148-927B-8E9D8B3F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6C7"/>
    <w:pPr>
      <w:autoSpaceDE w:val="0"/>
      <w:autoSpaceDN w:val="0"/>
      <w:adjustRightInd w:val="0"/>
    </w:pPr>
    <w:rPr>
      <w:rFonts w:ascii="Arial" w:hAnsi="Arial" w:cs="Arial"/>
      <w:color w:val="000000"/>
    </w:rPr>
  </w:style>
  <w:style w:type="paragraph" w:styleId="FootnoteText">
    <w:name w:val="footnote text"/>
    <w:basedOn w:val="Normal"/>
    <w:link w:val="FootnoteTextChar"/>
    <w:uiPriority w:val="99"/>
    <w:unhideWhenUsed/>
    <w:rsid w:val="00EE36C7"/>
    <w:rPr>
      <w:sz w:val="20"/>
      <w:szCs w:val="20"/>
    </w:rPr>
  </w:style>
  <w:style w:type="character" w:customStyle="1" w:styleId="FootnoteTextChar">
    <w:name w:val="Footnote Text Char"/>
    <w:basedOn w:val="DefaultParagraphFont"/>
    <w:link w:val="FootnoteText"/>
    <w:uiPriority w:val="99"/>
    <w:rsid w:val="00EE36C7"/>
    <w:rPr>
      <w:sz w:val="20"/>
      <w:szCs w:val="20"/>
    </w:rPr>
  </w:style>
  <w:style w:type="character" w:styleId="FootnoteReference">
    <w:name w:val="footnote reference"/>
    <w:basedOn w:val="DefaultParagraphFont"/>
    <w:uiPriority w:val="99"/>
    <w:semiHidden/>
    <w:unhideWhenUsed/>
    <w:rsid w:val="00EE36C7"/>
    <w:rPr>
      <w:vertAlign w:val="superscript"/>
    </w:rPr>
  </w:style>
  <w:style w:type="character" w:styleId="Hyperlink">
    <w:name w:val="Hyperlink"/>
    <w:basedOn w:val="DefaultParagraphFont"/>
    <w:uiPriority w:val="99"/>
    <w:unhideWhenUsed/>
    <w:rsid w:val="00EE36C7"/>
    <w:rPr>
      <w:color w:val="0000FF"/>
      <w:u w:val="single"/>
    </w:rPr>
  </w:style>
  <w:style w:type="paragraph" w:styleId="NormalWeb">
    <w:name w:val="Normal (Web)"/>
    <w:basedOn w:val="Normal"/>
    <w:uiPriority w:val="99"/>
    <w:unhideWhenUsed/>
    <w:rsid w:val="00EE36C7"/>
    <w:pPr>
      <w:spacing w:before="100" w:beforeAutospacing="1" w:after="100" w:afterAutospacing="1"/>
    </w:pPr>
    <w:rPr>
      <w:rFonts w:ascii="Times New Roman" w:eastAsia="Times New Roman" w:hAnsi="Times New Roman" w:cs="Times New Roman"/>
      <w:lang w:val="en-CA"/>
    </w:rPr>
  </w:style>
  <w:style w:type="paragraph" w:customStyle="1" w:styleId="paragraph">
    <w:name w:val="paragraph"/>
    <w:basedOn w:val="Normal"/>
    <w:rsid w:val="00EE36C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36C7"/>
  </w:style>
  <w:style w:type="character" w:customStyle="1" w:styleId="eop">
    <w:name w:val="eop"/>
    <w:basedOn w:val="DefaultParagraphFont"/>
    <w:rsid w:val="00EE36C7"/>
  </w:style>
  <w:style w:type="character" w:customStyle="1" w:styleId="bcx9">
    <w:name w:val="bcx9"/>
    <w:basedOn w:val="DefaultParagraphFont"/>
    <w:rsid w:val="00EE36C7"/>
  </w:style>
  <w:style w:type="paragraph" w:styleId="Title">
    <w:name w:val="Title"/>
    <w:basedOn w:val="Normal"/>
    <w:next w:val="Normal"/>
    <w:link w:val="TitleChar"/>
    <w:uiPriority w:val="10"/>
    <w:qFormat/>
    <w:rsid w:val="00EE36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6C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E36C7"/>
    <w:rPr>
      <w:rFonts w:eastAsiaTheme="minorEastAsia"/>
      <w:color w:val="5A5A5A" w:themeColor="text1" w:themeTint="A5"/>
      <w:spacing w:val="15"/>
      <w:sz w:val="22"/>
      <w:szCs w:val="22"/>
    </w:rPr>
  </w:style>
  <w:style w:type="character" w:styleId="CommentReference">
    <w:name w:val="annotation reference"/>
    <w:basedOn w:val="DefaultParagraphFont"/>
    <w:uiPriority w:val="99"/>
    <w:semiHidden/>
    <w:unhideWhenUsed/>
    <w:rsid w:val="00EE36C7"/>
    <w:rPr>
      <w:sz w:val="16"/>
      <w:szCs w:val="16"/>
    </w:rPr>
  </w:style>
  <w:style w:type="paragraph" w:styleId="CommentText">
    <w:name w:val="annotation text"/>
    <w:basedOn w:val="Normal"/>
    <w:link w:val="CommentTextChar"/>
    <w:uiPriority w:val="99"/>
    <w:semiHidden/>
    <w:unhideWhenUsed/>
    <w:rsid w:val="00EE36C7"/>
    <w:rPr>
      <w:sz w:val="20"/>
      <w:szCs w:val="20"/>
    </w:rPr>
  </w:style>
  <w:style w:type="character" w:customStyle="1" w:styleId="CommentTextChar">
    <w:name w:val="Comment Text Char"/>
    <w:basedOn w:val="DefaultParagraphFont"/>
    <w:link w:val="CommentText"/>
    <w:uiPriority w:val="99"/>
    <w:semiHidden/>
    <w:rsid w:val="00EE36C7"/>
    <w:rPr>
      <w:sz w:val="20"/>
      <w:szCs w:val="20"/>
    </w:rPr>
  </w:style>
  <w:style w:type="paragraph" w:styleId="ListParagraph">
    <w:name w:val="List Paragraph"/>
    <w:basedOn w:val="Normal"/>
    <w:uiPriority w:val="34"/>
    <w:qFormat/>
    <w:rsid w:val="00EE36C7"/>
    <w:pPr>
      <w:spacing w:after="160" w:line="259" w:lineRule="auto"/>
      <w:ind w:left="720"/>
      <w:contextualSpacing/>
    </w:pPr>
    <w:rPr>
      <w:sz w:val="22"/>
      <w:szCs w:val="22"/>
    </w:rPr>
  </w:style>
  <w:style w:type="paragraph" w:styleId="Footer">
    <w:name w:val="footer"/>
    <w:basedOn w:val="Normal"/>
    <w:link w:val="FooterChar"/>
    <w:uiPriority w:val="99"/>
    <w:unhideWhenUsed/>
    <w:rsid w:val="00EE36C7"/>
    <w:pPr>
      <w:tabs>
        <w:tab w:val="center" w:pos="4513"/>
        <w:tab w:val="right" w:pos="9026"/>
      </w:tabs>
    </w:pPr>
  </w:style>
  <w:style w:type="character" w:customStyle="1" w:styleId="FooterChar">
    <w:name w:val="Footer Char"/>
    <w:basedOn w:val="DefaultParagraphFont"/>
    <w:link w:val="Footer"/>
    <w:uiPriority w:val="99"/>
    <w:rsid w:val="00EE36C7"/>
  </w:style>
  <w:style w:type="character" w:styleId="PageNumber">
    <w:name w:val="page number"/>
    <w:basedOn w:val="DefaultParagraphFont"/>
    <w:uiPriority w:val="99"/>
    <w:semiHidden/>
    <w:unhideWhenUsed/>
    <w:rsid w:val="00EE36C7"/>
  </w:style>
  <w:style w:type="paragraph" w:styleId="BalloonText">
    <w:name w:val="Balloon Text"/>
    <w:basedOn w:val="Normal"/>
    <w:link w:val="BalloonTextChar"/>
    <w:uiPriority w:val="99"/>
    <w:semiHidden/>
    <w:unhideWhenUsed/>
    <w:rsid w:val="00EE36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36C7"/>
    <w:rPr>
      <w:rFonts w:ascii="Times New Roman" w:hAnsi="Times New Roman" w:cs="Times New Roman"/>
      <w:sz w:val="18"/>
      <w:szCs w:val="18"/>
    </w:rPr>
  </w:style>
  <w:style w:type="paragraph" w:styleId="Header">
    <w:name w:val="header"/>
    <w:basedOn w:val="Normal"/>
    <w:link w:val="HeaderChar"/>
    <w:uiPriority w:val="99"/>
    <w:unhideWhenUsed/>
    <w:rsid w:val="00EE36C7"/>
    <w:pPr>
      <w:tabs>
        <w:tab w:val="center" w:pos="4680"/>
        <w:tab w:val="right" w:pos="9360"/>
      </w:tabs>
    </w:pPr>
  </w:style>
  <w:style w:type="character" w:customStyle="1" w:styleId="HeaderChar">
    <w:name w:val="Header Char"/>
    <w:basedOn w:val="DefaultParagraphFont"/>
    <w:link w:val="Header"/>
    <w:uiPriority w:val="99"/>
    <w:rsid w:val="00EE36C7"/>
  </w:style>
  <w:style w:type="paragraph" w:styleId="CommentSubject">
    <w:name w:val="annotation subject"/>
    <w:basedOn w:val="CommentText"/>
    <w:next w:val="CommentText"/>
    <w:link w:val="CommentSubjectChar"/>
    <w:uiPriority w:val="99"/>
    <w:semiHidden/>
    <w:unhideWhenUsed/>
    <w:rsid w:val="00EE36C7"/>
    <w:rPr>
      <w:b/>
      <w:bCs/>
    </w:rPr>
  </w:style>
  <w:style w:type="character" w:customStyle="1" w:styleId="CommentSubjectChar">
    <w:name w:val="Comment Subject Char"/>
    <w:basedOn w:val="CommentTextChar"/>
    <w:link w:val="CommentSubject"/>
    <w:uiPriority w:val="99"/>
    <w:semiHidden/>
    <w:rsid w:val="00EE36C7"/>
    <w:rPr>
      <w:b/>
      <w:bCs/>
      <w:sz w:val="20"/>
      <w:szCs w:val="20"/>
    </w:rPr>
  </w:style>
  <w:style w:type="character" w:styleId="FollowedHyperlink">
    <w:name w:val="FollowedHyperlink"/>
    <w:basedOn w:val="DefaultParagraphFont"/>
    <w:uiPriority w:val="99"/>
    <w:semiHidden/>
    <w:unhideWhenUsed/>
    <w:rsid w:val="00EE36C7"/>
    <w:rPr>
      <w:color w:val="954F72" w:themeColor="followedHyperlink"/>
      <w:u w:val="single"/>
    </w:rPr>
  </w:style>
  <w:style w:type="character" w:styleId="UnresolvedMention">
    <w:name w:val="Unresolved Mention"/>
    <w:basedOn w:val="DefaultParagraphFont"/>
    <w:uiPriority w:val="99"/>
    <w:semiHidden/>
    <w:unhideWhenUsed/>
    <w:rsid w:val="00EE36C7"/>
    <w:rPr>
      <w:color w:val="605E5C"/>
      <w:shd w:val="clear" w:color="auto" w:fill="E1DFDD"/>
    </w:rPr>
  </w:style>
  <w:style w:type="paragraph" w:styleId="Revision">
    <w:name w:val="Revision"/>
    <w:hidden/>
    <w:uiPriority w:val="99"/>
    <w:semiHidden/>
    <w:rsid w:val="00EE36C7"/>
  </w:style>
  <w:style w:type="paragraph" w:styleId="NoSpacing">
    <w:name w:val="No Spacing"/>
    <w:uiPriority w:val="1"/>
    <w:qFormat/>
    <w:rsid w:val="00CC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881207">
      <w:bodyDiv w:val="1"/>
      <w:marLeft w:val="0"/>
      <w:marRight w:val="0"/>
      <w:marTop w:val="0"/>
      <w:marBottom w:val="0"/>
      <w:divBdr>
        <w:top w:val="none" w:sz="0" w:space="0" w:color="auto"/>
        <w:left w:val="none" w:sz="0" w:space="0" w:color="auto"/>
        <w:bottom w:val="none" w:sz="0" w:space="0" w:color="auto"/>
        <w:right w:val="none" w:sz="0" w:space="0" w:color="auto"/>
      </w:divBdr>
    </w:div>
    <w:div w:id="2077046068">
      <w:bodyDiv w:val="1"/>
      <w:marLeft w:val="0"/>
      <w:marRight w:val="0"/>
      <w:marTop w:val="0"/>
      <w:marBottom w:val="0"/>
      <w:divBdr>
        <w:top w:val="none" w:sz="0" w:space="0" w:color="auto"/>
        <w:left w:val="none" w:sz="0" w:space="0" w:color="auto"/>
        <w:bottom w:val="none" w:sz="0" w:space="0" w:color="auto"/>
        <w:right w:val="none" w:sz="0" w:space="0" w:color="auto"/>
      </w:divBdr>
      <w:divsChild>
        <w:div w:id="854198563">
          <w:marLeft w:val="0"/>
          <w:marRight w:val="0"/>
          <w:marTop w:val="0"/>
          <w:marBottom w:val="0"/>
          <w:divBdr>
            <w:top w:val="none" w:sz="0" w:space="0" w:color="auto"/>
            <w:left w:val="none" w:sz="0" w:space="0" w:color="auto"/>
            <w:bottom w:val="none" w:sz="0" w:space="0" w:color="auto"/>
            <w:right w:val="none" w:sz="0" w:space="0" w:color="auto"/>
          </w:divBdr>
          <w:divsChild>
            <w:div w:id="1344749510">
              <w:marLeft w:val="0"/>
              <w:marRight w:val="0"/>
              <w:marTop w:val="0"/>
              <w:marBottom w:val="0"/>
              <w:divBdr>
                <w:top w:val="none" w:sz="0" w:space="0" w:color="auto"/>
                <w:left w:val="none" w:sz="0" w:space="0" w:color="auto"/>
                <w:bottom w:val="none" w:sz="0" w:space="0" w:color="auto"/>
                <w:right w:val="none" w:sz="0" w:space="0" w:color="auto"/>
              </w:divBdr>
              <w:divsChild>
                <w:div w:id="19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theconversation.com/factcheck-is-domestic-violence-the-leading-preventable-c%20ause-of-death-and-and-illness-for-women-aged-18-to-44-94102" TargetMode="External"/><Relationship Id="rId13" Type="http://schemas.openxmlformats.org/officeDocument/2006/relationships/hyperlink" Target="http://www.justice-ni.gov.uk/publications/gillen-review-report-law-and-procedures-serious-sexual-offences-ni" TargetMode="External"/><Relationship Id="rId18" Type="http://schemas.openxmlformats.org/officeDocument/2006/relationships/hyperlink" Target="http://www.niassembly.gov.uk/assembly-business/committees/2017-2022/justice/reports/domestic-abuse-and-family-proceedings-bill/" TargetMode="External"/><Relationship Id="rId3" Type="http://schemas.openxmlformats.org/officeDocument/2006/relationships/hyperlink" Target="https://www.theguardian.com/world/2020/feb/21/grace-millane-man-jailed-for-life-for-killing-of-uk-backpacker" TargetMode="External"/><Relationship Id="rId7" Type="http://schemas.openxmlformats.org/officeDocument/2006/relationships/hyperlink" Target="https://static1.squarespace.com/static/5aa98420f2e6b1ba0c874e42/t/5ec69e2d6bbca20d0d49acb7/1590074927743/CWJ+non-fatal+strangulation.Committee+briefing.21.5.20.pdf" TargetMode="External"/><Relationship Id="rId12" Type="http://schemas.openxmlformats.org/officeDocument/2006/relationships/hyperlink" Target="http://nb-research.com/wp-content/uploads/2013/04/Responding-to-the-challenge-of-rape-myths-in-court_Nina-Burrowes.pdf" TargetMode="External"/><Relationship Id="rId17" Type="http://schemas.openxmlformats.org/officeDocument/2006/relationships/hyperlink" Target="https://hansard.parliament.uk/Commons/2020-06-16/debates/3fa90c32-4bc5-4477-ab1e-aaf665da56e6/DomesticAbuseBill(TenthSitting)" TargetMode="External"/><Relationship Id="rId2" Type="http://schemas.openxmlformats.org/officeDocument/2006/relationships/hyperlink" Target="https://www.bbc.co.uk/news/uk-england-suffolk-21145816" TargetMode="External"/><Relationship Id="rId16" Type="http://schemas.openxmlformats.org/officeDocument/2006/relationships/hyperlink" Target="https://static1.squarespace.com/static/5c49b798e749409bfb9b6ef2/t/5e4da72920c08f54b94d%2091e4/1582147383202/WCCTT+briefing+sheet+2020+February.pdf" TargetMode="External"/><Relationship Id="rId20" Type="http://schemas.openxmlformats.org/officeDocument/2006/relationships/hyperlink" Target="https://www.lawcom.govt.nz/sites/default/files/projectAvailableFormats/NZLC-R138.pdf" TargetMode="External"/><Relationship Id="rId1" Type="http://schemas.openxmlformats.org/officeDocument/2006/relationships/hyperlink" Target="https://hansard.parliament.uk/commons/2019-10-02/debates/C34%2088538-CFEC-4670-9299-732672E2BE67/DomesticAbuseBill" TargetMode="External"/><Relationship Id="rId6" Type="http://schemas.openxmlformats.org/officeDocument/2006/relationships/hyperlink" Target="http://www.clrnn.co.uk/blog/law-reform-general/" TargetMode="External"/><Relationship Id="rId11" Type="http://schemas.openxmlformats.org/officeDocument/2006/relationships/hyperlink" Target="http://theconversation.com/bdsm-when-is-sadomasochism-an-act-of-domestic-violence-108376" TargetMode="External"/><Relationship Id="rId5" Type="http://schemas.openxmlformats.org/officeDocument/2006/relationships/hyperlink" Target="https://wecantconsenttothis.uk" TargetMode="External"/><Relationship Id="rId15" Type="http://schemas.openxmlformats.org/officeDocument/2006/relationships/hyperlink" Target="http://www.ohchr.org/Documents/Issues/Women/WRGS/Health/GC4.pdf" TargetMode="External"/><Relationship Id="rId10" Type="http://schemas.openxmlformats.org/officeDocument/2006/relationships/hyperlink" Target="https://www.theguardian.com/society/2019/jul/25/fatal-hateful-rise-of-choking-during-sex" TargetMode="External"/><Relationship Id="rId19" Type="http://schemas.openxmlformats.org/officeDocument/2006/relationships/hyperlink" Target="https://publications.parliament.uk/pa/cm5801/cmpublic/DomesticAbuse/%20memo/DAB06.pdf" TargetMode="External"/><Relationship Id="rId4" Type="http://schemas.openxmlformats.org/officeDocument/2006/relationships/hyperlink" Target="https://www.irishnews.com/news/northernirelandnews/2020/08/06/news/patrycja-wyrebek-murder-accused-claimed-20-year-old-died-during-sex-act-court-told-2028597/" TargetMode="External"/><Relationship Id="rId9" Type="http://schemas.openxmlformats.org/officeDocument/2006/relationships/hyperlink" Target="http://www.ons.gov.uk/peoplepopulationandcommunity/crimeandjustice/articles/domesticabusevictimcharacteristicsenglandandwales/yearendingmarch2019" TargetMode="External"/><Relationship Id="rId14" Type="http://schemas.openxmlformats.org/officeDocument/2006/relationships/hyperlink" Target="http://www.http://qpol.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02DCE-EFAA-468B-ACED-29309A85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5237</Words>
  <Characters>29854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Craig</dc:creator>
  <cp:keywords/>
  <dc:description/>
  <cp:lastModifiedBy>Eithne Dowds</cp:lastModifiedBy>
  <cp:revision>2</cp:revision>
  <cp:lastPrinted>2020-12-18T15:06:00Z</cp:lastPrinted>
  <dcterms:created xsi:type="dcterms:W3CDTF">2020-12-21T15:03:00Z</dcterms:created>
  <dcterms:modified xsi:type="dcterms:W3CDTF">2020-12-21T15:03:00Z</dcterms:modified>
</cp:coreProperties>
</file>