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E7AAB" w14:textId="77777777" w:rsidR="00822325" w:rsidRDefault="00EC527A" w:rsidP="003D7A7A">
      <w:pPr>
        <w:jc w:val="right"/>
        <w:rPr>
          <w:b/>
          <w:sz w:val="28"/>
          <w:szCs w:val="28"/>
        </w:rPr>
      </w:pPr>
      <w:r>
        <w:rPr>
          <w:b/>
          <w:noProof/>
          <w:sz w:val="28"/>
          <w:szCs w:val="28"/>
          <w:lang w:eastAsia="en-GB"/>
        </w:rPr>
        <w:drawing>
          <wp:inline distT="0" distB="0" distL="0" distR="0" wp14:anchorId="56F650E6" wp14:editId="428A79F8">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14:paraId="7234C4B0" w14:textId="77777777"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14:paraId="6D6A9A95" w14:textId="77777777" w:rsidR="000B52E8" w:rsidRDefault="000B52E8" w:rsidP="000B52E8">
      <w:pPr>
        <w:rPr>
          <w:b/>
          <w:sz w:val="28"/>
          <w:szCs w:val="28"/>
        </w:rPr>
      </w:pPr>
      <w:r w:rsidRPr="000B52E8">
        <w:rPr>
          <w:b/>
          <w:sz w:val="28"/>
          <w:szCs w:val="28"/>
        </w:rPr>
        <w:t>Why does the NICRF charge for use?</w:t>
      </w:r>
    </w:p>
    <w:p w14:paraId="2DB92FB4" w14:textId="77777777"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14:paraId="3467E3AF" w14:textId="77777777" w:rsidR="000B52E8" w:rsidRDefault="000B52E8" w:rsidP="000B52E8">
      <w:pPr>
        <w:rPr>
          <w:b/>
          <w:sz w:val="28"/>
          <w:szCs w:val="28"/>
        </w:rPr>
      </w:pPr>
      <w:r w:rsidRPr="000B52E8">
        <w:rPr>
          <w:b/>
          <w:sz w:val="28"/>
          <w:szCs w:val="28"/>
        </w:rPr>
        <w:t>What are the charges?</w:t>
      </w:r>
    </w:p>
    <w:p w14:paraId="10967B81" w14:textId="77777777"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14:paraId="21E9D804" w14:textId="77777777" w:rsidTr="00B908DF">
        <w:tc>
          <w:tcPr>
            <w:tcW w:w="1848" w:type="dxa"/>
          </w:tcPr>
          <w:p w14:paraId="780CCFEA" w14:textId="77777777" w:rsidR="006D4CEA" w:rsidRPr="00BB5EFB" w:rsidRDefault="006D4CEA" w:rsidP="00B908DF">
            <w:pPr>
              <w:jc w:val="center"/>
              <w:rPr>
                <w:rFonts w:cstheme="minorHAnsi"/>
              </w:rPr>
            </w:pPr>
          </w:p>
        </w:tc>
        <w:tc>
          <w:tcPr>
            <w:tcW w:w="1521" w:type="dxa"/>
          </w:tcPr>
          <w:p w14:paraId="1E912BDC" w14:textId="77777777" w:rsidR="006D4CEA" w:rsidRPr="00BB5EFB" w:rsidRDefault="006D4CEA" w:rsidP="00B908DF">
            <w:pPr>
              <w:jc w:val="center"/>
              <w:rPr>
                <w:rFonts w:cstheme="minorHAnsi"/>
                <w:b/>
              </w:rPr>
            </w:pPr>
            <w:r w:rsidRPr="00BB5EFB">
              <w:rPr>
                <w:rFonts w:cstheme="minorHAnsi"/>
                <w:b/>
              </w:rPr>
              <w:t>CATEGORY 1</w:t>
            </w:r>
          </w:p>
          <w:p w14:paraId="424C6778" w14:textId="77777777" w:rsidR="006D4CEA" w:rsidRPr="00BB5EFB" w:rsidRDefault="006D4CEA" w:rsidP="00B908DF">
            <w:pPr>
              <w:jc w:val="center"/>
              <w:rPr>
                <w:rFonts w:cstheme="minorHAnsi"/>
                <w:b/>
              </w:rPr>
            </w:pPr>
            <w:r w:rsidRPr="00BB5EFB">
              <w:rPr>
                <w:rFonts w:cstheme="minorHAnsi"/>
                <w:b/>
              </w:rPr>
              <w:t>Pilot</w:t>
            </w:r>
          </w:p>
        </w:tc>
        <w:tc>
          <w:tcPr>
            <w:tcW w:w="2268" w:type="dxa"/>
          </w:tcPr>
          <w:p w14:paraId="082A4A8D" w14:textId="77777777" w:rsidR="006D4CEA" w:rsidRPr="00BB5EFB" w:rsidRDefault="006D4CEA" w:rsidP="00B908DF">
            <w:pPr>
              <w:jc w:val="center"/>
              <w:rPr>
                <w:rFonts w:cstheme="minorHAnsi"/>
                <w:b/>
              </w:rPr>
            </w:pPr>
            <w:r w:rsidRPr="00BB5EFB">
              <w:rPr>
                <w:rFonts w:cstheme="minorHAnsi"/>
                <w:b/>
              </w:rPr>
              <w:t>CATEGORY 2</w:t>
            </w:r>
          </w:p>
          <w:p w14:paraId="597AC289" w14:textId="77777777" w:rsidR="006D4CEA" w:rsidRPr="00BB5EFB" w:rsidRDefault="006D4CEA" w:rsidP="00B908DF">
            <w:pPr>
              <w:jc w:val="center"/>
              <w:rPr>
                <w:rFonts w:cstheme="minorHAnsi"/>
                <w:b/>
              </w:rPr>
            </w:pPr>
            <w:r w:rsidRPr="00BB5EFB">
              <w:rPr>
                <w:rFonts w:cstheme="minorHAnsi"/>
                <w:b/>
              </w:rPr>
              <w:t>Capability /Capacity Research</w:t>
            </w:r>
          </w:p>
        </w:tc>
        <w:tc>
          <w:tcPr>
            <w:tcW w:w="1842" w:type="dxa"/>
          </w:tcPr>
          <w:p w14:paraId="5585EE44" w14:textId="77777777" w:rsidR="006D4CEA" w:rsidRPr="00BB5EFB" w:rsidRDefault="006D4CEA" w:rsidP="00B908DF">
            <w:pPr>
              <w:jc w:val="center"/>
              <w:rPr>
                <w:rFonts w:cstheme="minorHAnsi"/>
                <w:b/>
              </w:rPr>
            </w:pPr>
            <w:r w:rsidRPr="00BB5EFB">
              <w:rPr>
                <w:rFonts w:cstheme="minorHAnsi"/>
                <w:b/>
              </w:rPr>
              <w:t>CATEGORY 3</w:t>
            </w:r>
          </w:p>
          <w:p w14:paraId="0E128125" w14:textId="77777777"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14:paraId="76F12521" w14:textId="77777777" w:rsidR="006D4CEA" w:rsidRPr="00BB5EFB" w:rsidRDefault="006D4CEA" w:rsidP="00B908DF">
            <w:pPr>
              <w:jc w:val="center"/>
              <w:rPr>
                <w:rFonts w:cstheme="minorHAnsi"/>
                <w:b/>
              </w:rPr>
            </w:pPr>
            <w:r w:rsidRPr="00BB5EFB">
              <w:rPr>
                <w:rFonts w:cstheme="minorHAnsi"/>
                <w:b/>
              </w:rPr>
              <w:t>CATEGORY 4</w:t>
            </w:r>
          </w:p>
          <w:p w14:paraId="1C2A6823" w14:textId="77777777"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14:paraId="04A8A461" w14:textId="77777777" w:rsidTr="00B908DF">
        <w:tc>
          <w:tcPr>
            <w:tcW w:w="1848" w:type="dxa"/>
          </w:tcPr>
          <w:p w14:paraId="2310C801" w14:textId="77777777" w:rsidR="006D4CEA" w:rsidRPr="00BB5EFB" w:rsidRDefault="006D4CEA" w:rsidP="00B908DF">
            <w:pPr>
              <w:rPr>
                <w:rFonts w:cstheme="minorHAnsi"/>
                <w:b/>
              </w:rPr>
            </w:pPr>
            <w:r w:rsidRPr="00BB5EFB">
              <w:rPr>
                <w:rFonts w:cstheme="minorHAnsi"/>
                <w:b/>
              </w:rPr>
              <w:t>Study Set-up Fee</w:t>
            </w:r>
          </w:p>
        </w:tc>
        <w:tc>
          <w:tcPr>
            <w:tcW w:w="1521" w:type="dxa"/>
          </w:tcPr>
          <w:p w14:paraId="55D58AD4" w14:textId="77777777" w:rsidR="006D4CEA" w:rsidRPr="00BB5EFB" w:rsidRDefault="006D4CEA" w:rsidP="00B908DF">
            <w:pPr>
              <w:rPr>
                <w:rFonts w:cstheme="minorHAnsi"/>
              </w:rPr>
            </w:pPr>
            <w:r w:rsidRPr="00BB5EFB">
              <w:rPr>
                <w:rFonts w:cstheme="minorHAnsi"/>
              </w:rPr>
              <w:t>£50</w:t>
            </w:r>
          </w:p>
        </w:tc>
        <w:tc>
          <w:tcPr>
            <w:tcW w:w="2268" w:type="dxa"/>
          </w:tcPr>
          <w:p w14:paraId="7C3BD741" w14:textId="77777777" w:rsidR="006D4CEA" w:rsidRPr="00BB5EFB" w:rsidRDefault="006D4CEA" w:rsidP="00B908DF">
            <w:pPr>
              <w:rPr>
                <w:rFonts w:cstheme="minorHAnsi"/>
              </w:rPr>
            </w:pPr>
            <w:r w:rsidRPr="00BB5EFB">
              <w:rPr>
                <w:rFonts w:cstheme="minorHAnsi"/>
              </w:rPr>
              <w:t>£100</w:t>
            </w:r>
          </w:p>
        </w:tc>
        <w:tc>
          <w:tcPr>
            <w:tcW w:w="1842" w:type="dxa"/>
          </w:tcPr>
          <w:p w14:paraId="1EBDDC90" w14:textId="77777777" w:rsidR="006D4CEA" w:rsidRPr="00BB5EFB" w:rsidRDefault="006D4CEA" w:rsidP="00B908DF">
            <w:pPr>
              <w:rPr>
                <w:rFonts w:cstheme="minorHAnsi"/>
              </w:rPr>
            </w:pPr>
            <w:r w:rsidRPr="00BB5EFB">
              <w:rPr>
                <w:rFonts w:cstheme="minorHAnsi"/>
              </w:rPr>
              <w:t>£500</w:t>
            </w:r>
          </w:p>
        </w:tc>
        <w:tc>
          <w:tcPr>
            <w:tcW w:w="1763" w:type="dxa"/>
          </w:tcPr>
          <w:p w14:paraId="74C35534" w14:textId="1B783809" w:rsidR="006D4CEA" w:rsidRPr="0075313F" w:rsidRDefault="0031427F" w:rsidP="004778FE">
            <w:pPr>
              <w:rPr>
                <w:rFonts w:cstheme="minorHAnsi"/>
              </w:rPr>
            </w:pPr>
            <w:r>
              <w:rPr>
                <w:rFonts w:cstheme="minorHAnsi"/>
              </w:rPr>
              <w:t>£1,580</w:t>
            </w:r>
            <w:r w:rsidR="0075313F">
              <w:rPr>
                <w:rFonts w:cstheme="minorHAnsi"/>
              </w:rPr>
              <w:t xml:space="preserve"> </w:t>
            </w:r>
            <w:r w:rsidR="006D4CEA">
              <w:rPr>
                <w:rFonts w:cstheme="minorHAnsi"/>
              </w:rPr>
              <w:t xml:space="preserve">as per </w:t>
            </w:r>
            <w:hyperlink r:id="rId9" w:history="1">
              <w:r w:rsidR="006D4CEA" w:rsidRPr="00C27084">
                <w:rPr>
                  <w:rStyle w:val="Hyperlink"/>
                  <w:rFonts w:cstheme="minorHAnsi"/>
                </w:rPr>
                <w:t>National costing NIHR</w:t>
              </w:r>
            </w:hyperlink>
            <w:r w:rsidR="0075313F">
              <w:rPr>
                <w:rStyle w:val="Hyperlink"/>
                <w:rFonts w:cstheme="minorHAnsi"/>
              </w:rPr>
              <w:t xml:space="preserve"> </w:t>
            </w:r>
            <w:r w:rsidR="0075313F" w:rsidRPr="0075313F">
              <w:rPr>
                <w:rStyle w:val="Hyperlink"/>
                <w:rFonts w:cstheme="minorHAnsi"/>
                <w:color w:val="auto"/>
                <w:u w:val="none"/>
              </w:rPr>
              <w:t>(</w:t>
            </w:r>
            <w:r w:rsidR="004778FE">
              <w:rPr>
                <w:rStyle w:val="Hyperlink"/>
                <w:rFonts w:cstheme="minorHAnsi"/>
                <w:color w:val="auto"/>
                <w:u w:val="none"/>
              </w:rPr>
              <w:t>April</w:t>
            </w:r>
            <w:r w:rsidR="0075313F" w:rsidRPr="0075313F">
              <w:rPr>
                <w:rStyle w:val="Hyperlink"/>
                <w:rFonts w:cstheme="minorHAnsi"/>
                <w:color w:val="auto"/>
                <w:u w:val="none"/>
              </w:rPr>
              <w:t xml:space="preserve"> 202</w:t>
            </w:r>
            <w:r w:rsidR="004778FE">
              <w:rPr>
                <w:rStyle w:val="Hyperlink"/>
                <w:rFonts w:cstheme="minorHAnsi"/>
                <w:color w:val="auto"/>
                <w:u w:val="none"/>
              </w:rPr>
              <w:t>3</w:t>
            </w:r>
            <w:r w:rsidR="0075313F" w:rsidRPr="0075313F">
              <w:rPr>
                <w:rStyle w:val="Hyperlink"/>
                <w:rFonts w:cstheme="minorHAnsi"/>
                <w:color w:val="auto"/>
                <w:u w:val="none"/>
              </w:rPr>
              <w:t>)</w:t>
            </w:r>
          </w:p>
        </w:tc>
      </w:tr>
      <w:tr w:rsidR="006D4CEA" w:rsidRPr="00BB5EFB" w14:paraId="384F3AC6" w14:textId="77777777" w:rsidTr="00B908DF">
        <w:tc>
          <w:tcPr>
            <w:tcW w:w="1848" w:type="dxa"/>
          </w:tcPr>
          <w:p w14:paraId="54B6D3B6" w14:textId="77777777"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14:paraId="04E4C8FC" w14:textId="77777777" w:rsidR="006D4CEA" w:rsidRPr="00BB5EFB" w:rsidRDefault="006D4CEA" w:rsidP="00B908DF">
            <w:pPr>
              <w:rPr>
                <w:rFonts w:cstheme="minorHAnsi"/>
              </w:rPr>
            </w:pPr>
            <w:r w:rsidRPr="00BB5EFB">
              <w:rPr>
                <w:rFonts w:cstheme="minorHAnsi"/>
              </w:rPr>
              <w:t>£5 per hour</w:t>
            </w:r>
          </w:p>
        </w:tc>
        <w:tc>
          <w:tcPr>
            <w:tcW w:w="2268" w:type="dxa"/>
          </w:tcPr>
          <w:p w14:paraId="57FF132F" w14:textId="77777777" w:rsidR="006D4CEA" w:rsidRPr="00BB5EFB" w:rsidRDefault="006D4CEA" w:rsidP="00B908DF">
            <w:pPr>
              <w:rPr>
                <w:rFonts w:cstheme="minorHAnsi"/>
              </w:rPr>
            </w:pPr>
            <w:r w:rsidRPr="00BB5EFB">
              <w:rPr>
                <w:rFonts w:cstheme="minorHAnsi"/>
              </w:rPr>
              <w:t>£15 per hour</w:t>
            </w:r>
          </w:p>
          <w:p w14:paraId="6F8FCF48" w14:textId="77777777" w:rsidR="006D4CEA" w:rsidRPr="00BB5EFB" w:rsidRDefault="006D4CEA" w:rsidP="00B908DF">
            <w:pPr>
              <w:rPr>
                <w:rFonts w:cstheme="minorHAnsi"/>
              </w:rPr>
            </w:pPr>
          </w:p>
        </w:tc>
        <w:tc>
          <w:tcPr>
            <w:tcW w:w="1842" w:type="dxa"/>
          </w:tcPr>
          <w:p w14:paraId="7B0FFBDB" w14:textId="77777777" w:rsidR="006D4CEA" w:rsidRPr="00BB5EFB" w:rsidRDefault="006D4CEA" w:rsidP="00B908DF">
            <w:pPr>
              <w:rPr>
                <w:rFonts w:cstheme="minorHAnsi"/>
              </w:rPr>
            </w:pPr>
            <w:r w:rsidRPr="00BB5EFB">
              <w:rPr>
                <w:rFonts w:cstheme="minorHAnsi"/>
              </w:rPr>
              <w:t>£25 per hour</w:t>
            </w:r>
          </w:p>
          <w:p w14:paraId="2F3E06C2" w14:textId="77777777" w:rsidR="006D4CEA" w:rsidRPr="00BB5EFB" w:rsidRDefault="006D4CEA" w:rsidP="00B908DF">
            <w:pPr>
              <w:rPr>
                <w:rFonts w:cstheme="minorHAnsi"/>
              </w:rPr>
            </w:pPr>
            <w:r w:rsidRPr="00BB5EFB">
              <w:rPr>
                <w:rFonts w:cstheme="minorHAnsi"/>
              </w:rPr>
              <w:t>£150 per day</w:t>
            </w:r>
          </w:p>
          <w:p w14:paraId="7996003D" w14:textId="77777777"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14:paraId="0A94141B" w14:textId="77777777" w:rsidR="006D4CEA" w:rsidRPr="00BB5EFB" w:rsidRDefault="006D4CEA" w:rsidP="00B908DF">
            <w:pPr>
              <w:rPr>
                <w:rFonts w:cstheme="minorHAnsi"/>
              </w:rPr>
            </w:pPr>
          </w:p>
        </w:tc>
        <w:tc>
          <w:tcPr>
            <w:tcW w:w="1763" w:type="dxa"/>
          </w:tcPr>
          <w:p w14:paraId="6DD411AB" w14:textId="77777777" w:rsidR="006D4CEA" w:rsidRPr="00BB5EFB" w:rsidRDefault="006D4CEA" w:rsidP="00B908DF">
            <w:pPr>
              <w:rPr>
                <w:rFonts w:cstheme="minorHAnsi"/>
              </w:rPr>
            </w:pPr>
            <w:r w:rsidRPr="00BB5EFB">
              <w:rPr>
                <w:rFonts w:cstheme="minorHAnsi"/>
              </w:rPr>
              <w:t>£50 per hour</w:t>
            </w:r>
          </w:p>
          <w:p w14:paraId="7BB6C05C" w14:textId="77777777" w:rsidR="006D4CEA" w:rsidRPr="00BB5EFB" w:rsidRDefault="006D4CEA" w:rsidP="00B908DF">
            <w:pPr>
              <w:rPr>
                <w:rFonts w:cstheme="minorHAnsi"/>
              </w:rPr>
            </w:pPr>
            <w:r w:rsidRPr="00BB5EFB">
              <w:rPr>
                <w:rFonts w:cstheme="minorHAnsi"/>
              </w:rPr>
              <w:t>£350 per day</w:t>
            </w:r>
          </w:p>
          <w:p w14:paraId="2CFE7159" w14:textId="77777777"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14:paraId="439F1BDD" w14:textId="77777777" w:rsidTr="00B908DF">
        <w:tc>
          <w:tcPr>
            <w:tcW w:w="1848" w:type="dxa"/>
          </w:tcPr>
          <w:p w14:paraId="528E96CB" w14:textId="77777777" w:rsidR="006D4CEA" w:rsidRPr="00BB5EFB" w:rsidRDefault="006D4CEA" w:rsidP="00B908DF">
            <w:pPr>
              <w:rPr>
                <w:rFonts w:cstheme="minorHAnsi"/>
                <w:b/>
              </w:rPr>
            </w:pPr>
            <w:r w:rsidRPr="00BB5EFB">
              <w:rPr>
                <w:rFonts w:cstheme="minorHAnsi"/>
                <w:b/>
              </w:rPr>
              <w:t>Lab Processing</w:t>
            </w:r>
          </w:p>
          <w:p w14:paraId="433BD3EB" w14:textId="77777777" w:rsidR="006D4CEA" w:rsidRPr="00BB5EFB" w:rsidRDefault="006D4CEA" w:rsidP="00B908DF">
            <w:pPr>
              <w:rPr>
                <w:rFonts w:cstheme="minorHAnsi"/>
                <w:b/>
              </w:rPr>
            </w:pPr>
            <w:r w:rsidRPr="00BB5EFB">
              <w:rPr>
                <w:rFonts w:cstheme="minorHAnsi"/>
                <w:b/>
              </w:rPr>
              <w:t>(when no usage of Clinical Room)</w:t>
            </w:r>
          </w:p>
          <w:p w14:paraId="693DC6F8" w14:textId="77777777" w:rsidR="006D4CEA" w:rsidRPr="00BB5EFB" w:rsidRDefault="006D4CEA" w:rsidP="00B908DF">
            <w:pPr>
              <w:rPr>
                <w:rFonts w:cstheme="minorHAnsi"/>
                <w:b/>
              </w:rPr>
            </w:pPr>
          </w:p>
        </w:tc>
        <w:tc>
          <w:tcPr>
            <w:tcW w:w="1521" w:type="dxa"/>
          </w:tcPr>
          <w:p w14:paraId="020707D1" w14:textId="77777777" w:rsidR="006D4CEA" w:rsidRPr="00BB5EFB" w:rsidRDefault="006D4CEA" w:rsidP="00B908DF">
            <w:pPr>
              <w:rPr>
                <w:rFonts w:cstheme="minorHAnsi"/>
              </w:rPr>
            </w:pPr>
            <w:r w:rsidRPr="00BB5EFB">
              <w:rPr>
                <w:rFonts w:cstheme="minorHAnsi"/>
              </w:rPr>
              <w:t>£5 per hour</w:t>
            </w:r>
          </w:p>
        </w:tc>
        <w:tc>
          <w:tcPr>
            <w:tcW w:w="2268" w:type="dxa"/>
          </w:tcPr>
          <w:p w14:paraId="62C389BB" w14:textId="77777777" w:rsidR="006D4CEA" w:rsidRPr="00BB5EFB" w:rsidRDefault="006D4CEA" w:rsidP="00B908DF">
            <w:pPr>
              <w:rPr>
                <w:rFonts w:cstheme="minorHAnsi"/>
              </w:rPr>
            </w:pPr>
            <w:r w:rsidRPr="00BB5EFB">
              <w:rPr>
                <w:rFonts w:cstheme="minorHAnsi"/>
              </w:rPr>
              <w:t>£5 per hour</w:t>
            </w:r>
          </w:p>
        </w:tc>
        <w:tc>
          <w:tcPr>
            <w:tcW w:w="1842" w:type="dxa"/>
          </w:tcPr>
          <w:p w14:paraId="0287BC9B" w14:textId="77777777" w:rsidR="006D4CEA" w:rsidRPr="00BB5EFB" w:rsidRDefault="006D4CEA" w:rsidP="00B908DF">
            <w:pPr>
              <w:rPr>
                <w:rFonts w:cstheme="minorHAnsi"/>
              </w:rPr>
            </w:pPr>
            <w:r w:rsidRPr="00BB5EFB">
              <w:rPr>
                <w:rFonts w:cstheme="minorHAnsi"/>
              </w:rPr>
              <w:t>£5 per hour</w:t>
            </w:r>
          </w:p>
        </w:tc>
        <w:tc>
          <w:tcPr>
            <w:tcW w:w="1763" w:type="dxa"/>
          </w:tcPr>
          <w:p w14:paraId="2C5B3F7B" w14:textId="77777777" w:rsidR="006D4CEA" w:rsidRPr="00BB5EFB" w:rsidRDefault="006D4CEA" w:rsidP="00B908DF">
            <w:pPr>
              <w:rPr>
                <w:rFonts w:cstheme="minorHAnsi"/>
              </w:rPr>
            </w:pPr>
            <w:r w:rsidRPr="00BB5EFB">
              <w:rPr>
                <w:rFonts w:cstheme="minorHAnsi"/>
              </w:rPr>
              <w:t>£10 per hour</w:t>
            </w:r>
          </w:p>
        </w:tc>
      </w:tr>
      <w:tr w:rsidR="006D4CEA" w:rsidRPr="00BB5EFB" w14:paraId="136C08B2" w14:textId="77777777" w:rsidTr="00B908DF">
        <w:tc>
          <w:tcPr>
            <w:tcW w:w="1848" w:type="dxa"/>
          </w:tcPr>
          <w:p w14:paraId="49FCD762" w14:textId="77777777" w:rsidR="006D4CEA" w:rsidRPr="00BB5EFB" w:rsidRDefault="006D4CEA" w:rsidP="00B908DF">
            <w:pPr>
              <w:rPr>
                <w:rFonts w:cstheme="minorHAnsi"/>
                <w:b/>
              </w:rPr>
            </w:pPr>
            <w:r w:rsidRPr="00BB5EFB">
              <w:rPr>
                <w:rFonts w:cstheme="minorHAnsi"/>
                <w:b/>
              </w:rPr>
              <w:t>Lab Storage</w:t>
            </w:r>
          </w:p>
          <w:p w14:paraId="03DFAC3D" w14:textId="77777777" w:rsidR="006D4CEA" w:rsidRPr="00BB5EFB" w:rsidRDefault="006D4CEA" w:rsidP="00B908DF">
            <w:pPr>
              <w:rPr>
                <w:rFonts w:cstheme="minorHAnsi"/>
                <w:b/>
              </w:rPr>
            </w:pPr>
            <w:r w:rsidRPr="00BB5EFB">
              <w:rPr>
                <w:rFonts w:cstheme="minorHAnsi"/>
                <w:b/>
              </w:rPr>
              <w:t>(when no usage of Clinical room)</w:t>
            </w:r>
          </w:p>
        </w:tc>
        <w:tc>
          <w:tcPr>
            <w:tcW w:w="1521" w:type="dxa"/>
          </w:tcPr>
          <w:p w14:paraId="36DF4746" w14:textId="77777777" w:rsidR="006D4CEA" w:rsidRPr="00BB5EFB" w:rsidRDefault="006D4CEA" w:rsidP="00B908DF">
            <w:pPr>
              <w:rPr>
                <w:rFonts w:cstheme="minorHAnsi"/>
              </w:rPr>
            </w:pPr>
            <w:r w:rsidRPr="00BB5EFB">
              <w:rPr>
                <w:rFonts w:cstheme="minorHAnsi"/>
              </w:rPr>
              <w:t xml:space="preserve">£5 per box </w:t>
            </w:r>
          </w:p>
          <w:p w14:paraId="2EBE1B3A" w14:textId="77777777" w:rsidR="006D4CEA" w:rsidRPr="00BB5EFB" w:rsidRDefault="006D4CEA" w:rsidP="00B908DF">
            <w:pPr>
              <w:rPr>
                <w:rFonts w:cstheme="minorHAnsi"/>
              </w:rPr>
            </w:pPr>
            <w:r w:rsidRPr="00BB5EFB">
              <w:rPr>
                <w:rFonts w:cstheme="minorHAnsi"/>
              </w:rPr>
              <w:t>per month</w:t>
            </w:r>
          </w:p>
        </w:tc>
        <w:tc>
          <w:tcPr>
            <w:tcW w:w="2268" w:type="dxa"/>
          </w:tcPr>
          <w:p w14:paraId="4E274EE5" w14:textId="77777777" w:rsidR="006D4CEA" w:rsidRPr="00BB5EFB" w:rsidRDefault="006D4CEA" w:rsidP="00B908DF">
            <w:pPr>
              <w:rPr>
                <w:rFonts w:cstheme="minorHAnsi"/>
              </w:rPr>
            </w:pPr>
            <w:r w:rsidRPr="00BB5EFB">
              <w:rPr>
                <w:rFonts w:cstheme="minorHAnsi"/>
              </w:rPr>
              <w:t xml:space="preserve">£5 per box </w:t>
            </w:r>
          </w:p>
          <w:p w14:paraId="550A8454" w14:textId="77777777" w:rsidR="006D4CEA" w:rsidRPr="00BB5EFB" w:rsidRDefault="006D4CEA" w:rsidP="00B908DF">
            <w:pPr>
              <w:rPr>
                <w:rFonts w:cstheme="minorHAnsi"/>
              </w:rPr>
            </w:pPr>
            <w:r w:rsidRPr="00BB5EFB">
              <w:rPr>
                <w:rFonts w:cstheme="minorHAnsi"/>
              </w:rPr>
              <w:t>per month</w:t>
            </w:r>
          </w:p>
        </w:tc>
        <w:tc>
          <w:tcPr>
            <w:tcW w:w="1842" w:type="dxa"/>
          </w:tcPr>
          <w:p w14:paraId="0F835BE4" w14:textId="77777777" w:rsidR="006D4CEA" w:rsidRPr="00BB5EFB" w:rsidRDefault="006D4CEA" w:rsidP="00B908DF">
            <w:pPr>
              <w:rPr>
                <w:rFonts w:cstheme="minorHAnsi"/>
              </w:rPr>
            </w:pPr>
            <w:r w:rsidRPr="00BB5EFB">
              <w:rPr>
                <w:rFonts w:cstheme="minorHAnsi"/>
              </w:rPr>
              <w:t xml:space="preserve">£5 per box </w:t>
            </w:r>
          </w:p>
          <w:p w14:paraId="3D68F758" w14:textId="77777777" w:rsidR="006D4CEA" w:rsidRPr="00BB5EFB" w:rsidRDefault="006D4CEA" w:rsidP="00B908DF">
            <w:pPr>
              <w:rPr>
                <w:rFonts w:cstheme="minorHAnsi"/>
              </w:rPr>
            </w:pPr>
            <w:r w:rsidRPr="00BB5EFB">
              <w:rPr>
                <w:rFonts w:cstheme="minorHAnsi"/>
              </w:rPr>
              <w:t>per month</w:t>
            </w:r>
          </w:p>
        </w:tc>
        <w:tc>
          <w:tcPr>
            <w:tcW w:w="1763" w:type="dxa"/>
          </w:tcPr>
          <w:p w14:paraId="7EE5C9AD" w14:textId="77777777" w:rsidR="006D4CEA" w:rsidRPr="00BB5EFB" w:rsidRDefault="006D4CEA" w:rsidP="00B908DF">
            <w:pPr>
              <w:rPr>
                <w:rFonts w:cstheme="minorHAnsi"/>
              </w:rPr>
            </w:pPr>
            <w:r w:rsidRPr="00BB5EFB">
              <w:rPr>
                <w:rFonts w:cstheme="minorHAnsi"/>
              </w:rPr>
              <w:t xml:space="preserve">£5 per box </w:t>
            </w:r>
          </w:p>
          <w:p w14:paraId="5076E277" w14:textId="77777777" w:rsidR="006D4CEA" w:rsidRPr="00BB5EFB" w:rsidRDefault="006D4CEA" w:rsidP="00B908DF">
            <w:pPr>
              <w:rPr>
                <w:rFonts w:cstheme="minorHAnsi"/>
              </w:rPr>
            </w:pPr>
            <w:r w:rsidRPr="00BB5EFB">
              <w:rPr>
                <w:rFonts w:cstheme="minorHAnsi"/>
              </w:rPr>
              <w:t>per month</w:t>
            </w:r>
          </w:p>
          <w:p w14:paraId="7BDAC95E" w14:textId="77777777" w:rsidR="006D4CEA" w:rsidRPr="00BB5EFB" w:rsidRDefault="006D4CEA" w:rsidP="00B908DF">
            <w:pPr>
              <w:rPr>
                <w:rFonts w:cstheme="minorHAnsi"/>
              </w:rPr>
            </w:pPr>
          </w:p>
        </w:tc>
      </w:tr>
    </w:tbl>
    <w:p w14:paraId="32965DB8" w14:textId="77777777"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14:paraId="4D963981" w14:textId="77777777"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14:paraId="1728E5A7" w14:textId="77777777" w:rsidR="00791391" w:rsidRDefault="002F7432" w:rsidP="002A0E7D">
      <w:pPr>
        <w:jc w:val="both"/>
        <w:rPr>
          <w:sz w:val="24"/>
          <w:szCs w:val="24"/>
        </w:rPr>
      </w:pPr>
      <w:r w:rsidRPr="0065013C">
        <w:rPr>
          <w:sz w:val="20"/>
          <w:szCs w:val="20"/>
        </w:rPr>
        <w:t xml:space="preserve"> </w:t>
      </w:r>
    </w:p>
    <w:p w14:paraId="16FEFEB4" w14:textId="77777777" w:rsidR="005F759E" w:rsidRDefault="005F759E" w:rsidP="0079797E">
      <w:pPr>
        <w:jc w:val="center"/>
        <w:rPr>
          <w:b/>
          <w:sz w:val="28"/>
          <w:szCs w:val="28"/>
        </w:rPr>
      </w:pPr>
      <w:r w:rsidRPr="005F759E">
        <w:rPr>
          <w:b/>
          <w:sz w:val="28"/>
          <w:szCs w:val="28"/>
        </w:rPr>
        <w:lastRenderedPageBreak/>
        <w:t>DEFINITIONS OF CATEGORIES</w:t>
      </w:r>
    </w:p>
    <w:p w14:paraId="4F7DFA5C" w14:textId="77777777"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14:paraId="2EFA7364" w14:textId="77777777"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there will be an upper li</w:t>
      </w:r>
      <w:bookmarkStart w:id="0" w:name="_GoBack"/>
      <w:bookmarkEnd w:id="0"/>
      <w:r w:rsidR="00CA0A92">
        <w:rPr>
          <w:sz w:val="24"/>
          <w:szCs w:val="24"/>
        </w:rPr>
        <w:t xml:space="preserve">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14:paraId="5929803E" w14:textId="77777777"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14:paraId="2829BE37" w14:textId="77777777"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14:paraId="647308D6" w14:textId="77777777"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14:paraId="2C26F72C" w14:textId="77777777"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14:paraId="6DE52F5E" w14:textId="77777777"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14:paraId="0C5727EE" w14:textId="77777777"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14:paraId="06A395D4" w14:textId="77777777"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14:paraId="4CB79A9D" w14:textId="77777777"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14:paraId="3AB36682" w14:textId="77777777"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14:paraId="0F704B2B" w14:textId="77777777"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14:paraId="62005E1A" w14:textId="77777777"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14:paraId="4326EF1A" w14:textId="77777777"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14:paraId="47AF8240" w14:textId="77777777" w:rsidR="00881BA8" w:rsidRDefault="00311268" w:rsidP="00525BEF">
      <w:pPr>
        <w:pStyle w:val="ListParagraph"/>
        <w:numPr>
          <w:ilvl w:val="0"/>
          <w:numId w:val="2"/>
        </w:numPr>
        <w:jc w:val="both"/>
        <w:rPr>
          <w:sz w:val="24"/>
          <w:szCs w:val="24"/>
        </w:rPr>
      </w:pPr>
      <w:r>
        <w:rPr>
          <w:sz w:val="24"/>
          <w:szCs w:val="24"/>
        </w:rPr>
        <w:lastRenderedPageBreak/>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14:paraId="3324A7DE" w14:textId="77777777"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14:paraId="2048C897" w14:textId="77777777"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14:paraId="234413A3" w14:textId="77777777"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14:paraId="05B21256" w14:textId="77777777"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14:paraId="1B76109C" w14:textId="77777777"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14:paraId="1B680053" w14:textId="77777777"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14:paraId="7FE126D9" w14:textId="77777777" w:rsidR="00BB16A1" w:rsidRDefault="00BB16A1" w:rsidP="005F759E">
      <w:pPr>
        <w:rPr>
          <w:b/>
          <w:sz w:val="28"/>
          <w:szCs w:val="28"/>
        </w:rPr>
      </w:pPr>
      <w:r w:rsidRPr="00BB16A1">
        <w:rPr>
          <w:b/>
          <w:sz w:val="28"/>
          <w:szCs w:val="28"/>
        </w:rPr>
        <w:t>How are payments collected?</w:t>
      </w:r>
    </w:p>
    <w:p w14:paraId="7B9C4399" w14:textId="77777777"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14:paraId="34DA2CA9" w14:textId="77777777"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14:paraId="30F00E69" w14:textId="77777777"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14:paraId="0465A2C5" w14:textId="77777777"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3539"/>
        <w:gridCol w:w="5477"/>
      </w:tblGrid>
      <w:tr w:rsidR="001A0401" w:rsidRPr="000B4F66" w14:paraId="558FEE95" w14:textId="77777777" w:rsidTr="001A0401">
        <w:tc>
          <w:tcPr>
            <w:tcW w:w="3539" w:type="dxa"/>
          </w:tcPr>
          <w:p w14:paraId="4A222420" w14:textId="77777777" w:rsidR="001A0401" w:rsidRPr="000B4F66" w:rsidRDefault="001A0401" w:rsidP="005D7F88">
            <w:pPr>
              <w:rPr>
                <w:rFonts w:cstheme="minorHAnsi"/>
                <w:b/>
                <w:sz w:val="24"/>
                <w:szCs w:val="24"/>
              </w:rPr>
            </w:pPr>
            <w:r w:rsidRPr="000B4F66">
              <w:rPr>
                <w:rFonts w:cstheme="minorHAnsi"/>
                <w:b/>
                <w:sz w:val="24"/>
                <w:szCs w:val="24"/>
              </w:rPr>
              <w:lastRenderedPageBreak/>
              <w:t xml:space="preserve">Activity </w:t>
            </w:r>
          </w:p>
        </w:tc>
        <w:tc>
          <w:tcPr>
            <w:tcW w:w="5477" w:type="dxa"/>
          </w:tcPr>
          <w:p w14:paraId="1AD0C12F" w14:textId="77777777" w:rsidR="001A0401" w:rsidRPr="000B4F66" w:rsidRDefault="001A0401" w:rsidP="005D7F88">
            <w:pPr>
              <w:rPr>
                <w:rFonts w:cstheme="minorHAnsi"/>
                <w:b/>
                <w:sz w:val="24"/>
                <w:szCs w:val="24"/>
              </w:rPr>
            </w:pPr>
            <w:r w:rsidRPr="000B4F66">
              <w:rPr>
                <w:rFonts w:cstheme="minorHAnsi"/>
                <w:b/>
                <w:sz w:val="24"/>
                <w:szCs w:val="24"/>
              </w:rPr>
              <w:t>Costs</w:t>
            </w:r>
          </w:p>
        </w:tc>
      </w:tr>
      <w:tr w:rsidR="001A0401" w:rsidRPr="000B4F66" w14:paraId="3C7140DB" w14:textId="77777777" w:rsidTr="001A0401">
        <w:tc>
          <w:tcPr>
            <w:tcW w:w="3539" w:type="dxa"/>
          </w:tcPr>
          <w:p w14:paraId="0DC0A10D" w14:textId="77777777" w:rsidR="001A0401" w:rsidRPr="000B4F66" w:rsidRDefault="001A0401" w:rsidP="005D7F88">
            <w:pPr>
              <w:rPr>
                <w:rFonts w:cstheme="minorHAnsi"/>
                <w:sz w:val="24"/>
                <w:szCs w:val="24"/>
              </w:rPr>
            </w:pPr>
            <w:r w:rsidRPr="000B4F66">
              <w:rPr>
                <w:rFonts w:cstheme="minorHAnsi"/>
                <w:sz w:val="24"/>
                <w:szCs w:val="24"/>
              </w:rPr>
              <w:t xml:space="preserve">ECG </w:t>
            </w:r>
          </w:p>
        </w:tc>
        <w:tc>
          <w:tcPr>
            <w:tcW w:w="5477" w:type="dxa"/>
          </w:tcPr>
          <w:p w14:paraId="31EF17CF" w14:textId="66DEAEF9" w:rsidR="001A0401" w:rsidRPr="004778FE" w:rsidRDefault="001A0401" w:rsidP="004778FE">
            <w:pPr>
              <w:rPr>
                <w:rFonts w:cstheme="minorHAnsi"/>
                <w:sz w:val="24"/>
                <w:szCs w:val="24"/>
              </w:rPr>
            </w:pPr>
            <w:r w:rsidRPr="004778FE">
              <w:rPr>
                <w:rFonts w:cstheme="minorHAnsi"/>
                <w:sz w:val="24"/>
                <w:szCs w:val="24"/>
              </w:rPr>
              <w:t>National costing rate, currently £</w:t>
            </w:r>
            <w:r w:rsidR="004D153D" w:rsidRPr="004778FE">
              <w:rPr>
                <w:rFonts w:cstheme="minorHAnsi"/>
                <w:sz w:val="24"/>
                <w:szCs w:val="24"/>
              </w:rPr>
              <w:t>3</w:t>
            </w:r>
            <w:r w:rsidR="004778FE" w:rsidRPr="004778FE">
              <w:rPr>
                <w:rFonts w:cstheme="minorHAnsi"/>
                <w:sz w:val="24"/>
                <w:szCs w:val="24"/>
              </w:rPr>
              <w:t>5</w:t>
            </w:r>
            <w:r w:rsidRPr="004778FE">
              <w:rPr>
                <w:rFonts w:cstheme="minorHAnsi"/>
                <w:sz w:val="24"/>
                <w:szCs w:val="24"/>
              </w:rPr>
              <w:t xml:space="preserve"> pe</w:t>
            </w:r>
            <w:r w:rsidRPr="004778FE">
              <w:rPr>
                <w:rFonts w:cstheme="minorHAnsi"/>
                <w:sz w:val="24"/>
                <w:szCs w:val="24"/>
              </w:rPr>
              <w:t>r</w:t>
            </w:r>
            <w:r w:rsidRPr="004778FE">
              <w:rPr>
                <w:rFonts w:cstheme="minorHAnsi"/>
                <w:sz w:val="24"/>
                <w:szCs w:val="24"/>
              </w:rPr>
              <w:t xml:space="preserve"> ECG</w:t>
            </w:r>
            <w:r w:rsidR="004D153D" w:rsidRPr="004778FE">
              <w:rPr>
                <w:rStyle w:val="Hyperlink"/>
                <w:rFonts w:cstheme="minorHAnsi"/>
                <w:sz w:val="24"/>
                <w:szCs w:val="24"/>
                <w:u w:val="none"/>
              </w:rPr>
              <w:t xml:space="preserve"> </w:t>
            </w:r>
            <w:r w:rsidR="004D153D" w:rsidRPr="004778FE">
              <w:rPr>
                <w:rFonts w:cstheme="minorHAnsi"/>
              </w:rPr>
              <w:t>as per National co</w:t>
            </w:r>
            <w:r w:rsidR="004D153D" w:rsidRPr="004778FE">
              <w:rPr>
                <w:rFonts w:cstheme="minorHAnsi"/>
              </w:rPr>
              <w:t>s</w:t>
            </w:r>
            <w:r w:rsidR="004D153D" w:rsidRPr="004778FE">
              <w:rPr>
                <w:rFonts w:cstheme="minorHAnsi"/>
              </w:rPr>
              <w:t>ting NIHR</w:t>
            </w:r>
            <w:r w:rsidR="004D153D" w:rsidRPr="004778FE">
              <w:rPr>
                <w:rStyle w:val="Hyperlink"/>
                <w:rFonts w:cstheme="minorHAnsi"/>
                <w:u w:val="none"/>
              </w:rPr>
              <w:t xml:space="preserve"> </w:t>
            </w:r>
            <w:r w:rsidR="004778FE" w:rsidRPr="004778FE">
              <w:rPr>
                <w:rStyle w:val="Hyperlink"/>
                <w:rFonts w:cstheme="minorHAnsi"/>
                <w:color w:val="auto"/>
                <w:u w:val="none"/>
              </w:rPr>
              <w:t>(April 2023)</w:t>
            </w:r>
          </w:p>
        </w:tc>
      </w:tr>
      <w:tr w:rsidR="001A0401" w:rsidRPr="000B4F66" w14:paraId="7419B03F" w14:textId="77777777" w:rsidTr="001A0401">
        <w:tc>
          <w:tcPr>
            <w:tcW w:w="3539" w:type="dxa"/>
          </w:tcPr>
          <w:p w14:paraId="5FD1F789" w14:textId="77777777" w:rsidR="001A0401" w:rsidRPr="000B4F66" w:rsidRDefault="001A0401" w:rsidP="005D7F88">
            <w:pPr>
              <w:rPr>
                <w:rFonts w:cstheme="minorHAnsi"/>
                <w:sz w:val="24"/>
                <w:szCs w:val="24"/>
              </w:rPr>
            </w:pPr>
            <w:r w:rsidRPr="000B4F66">
              <w:rPr>
                <w:rFonts w:cstheme="minorHAnsi"/>
                <w:sz w:val="24"/>
                <w:szCs w:val="24"/>
              </w:rPr>
              <w:t>ECHO</w:t>
            </w:r>
          </w:p>
        </w:tc>
        <w:tc>
          <w:tcPr>
            <w:tcW w:w="5477" w:type="dxa"/>
          </w:tcPr>
          <w:p w14:paraId="151224C7" w14:textId="6F01D0F0" w:rsidR="001A0401" w:rsidRPr="004778FE" w:rsidRDefault="001A0401" w:rsidP="004778FE">
            <w:pPr>
              <w:rPr>
                <w:rFonts w:cstheme="minorHAnsi"/>
                <w:sz w:val="24"/>
                <w:szCs w:val="24"/>
              </w:rPr>
            </w:pPr>
            <w:r w:rsidRPr="004778FE">
              <w:rPr>
                <w:rFonts w:cstheme="minorHAnsi"/>
                <w:sz w:val="24"/>
                <w:szCs w:val="24"/>
              </w:rPr>
              <w:t xml:space="preserve">National costing rate, currently </w:t>
            </w:r>
            <w:r w:rsidR="00E66A55" w:rsidRPr="004778FE">
              <w:rPr>
                <w:rFonts w:cstheme="minorHAnsi"/>
                <w:sz w:val="24"/>
                <w:szCs w:val="24"/>
              </w:rPr>
              <w:t>£2</w:t>
            </w:r>
            <w:r w:rsidR="004D153D" w:rsidRPr="004778FE">
              <w:rPr>
                <w:rFonts w:cstheme="minorHAnsi"/>
                <w:sz w:val="24"/>
                <w:szCs w:val="24"/>
              </w:rPr>
              <w:t>2</w:t>
            </w:r>
            <w:r w:rsidR="004778FE">
              <w:rPr>
                <w:rFonts w:cstheme="minorHAnsi"/>
                <w:sz w:val="24"/>
                <w:szCs w:val="24"/>
              </w:rPr>
              <w:t>7</w:t>
            </w:r>
            <w:r w:rsidRPr="004778FE">
              <w:rPr>
                <w:rFonts w:cstheme="minorHAnsi"/>
                <w:sz w:val="24"/>
                <w:szCs w:val="24"/>
              </w:rPr>
              <w:t xml:space="preserve"> per ECHO</w:t>
            </w:r>
            <w:r w:rsidR="004D153D" w:rsidRPr="004778FE">
              <w:rPr>
                <w:rStyle w:val="Hyperlink"/>
                <w:rFonts w:cstheme="minorHAnsi"/>
                <w:sz w:val="24"/>
                <w:szCs w:val="24"/>
                <w:u w:val="none"/>
              </w:rPr>
              <w:t xml:space="preserve"> </w:t>
            </w:r>
            <w:r w:rsidR="004D153D" w:rsidRPr="004778FE">
              <w:rPr>
                <w:rFonts w:cstheme="minorHAnsi"/>
              </w:rPr>
              <w:t>as per National costing NIHR</w:t>
            </w:r>
            <w:r w:rsidR="004778FE" w:rsidRPr="004778FE">
              <w:rPr>
                <w:rStyle w:val="Hyperlink"/>
                <w:rFonts w:cstheme="minorHAnsi"/>
                <w:u w:val="none"/>
              </w:rPr>
              <w:t xml:space="preserve"> </w:t>
            </w:r>
            <w:r w:rsidR="004778FE" w:rsidRPr="004778FE">
              <w:rPr>
                <w:rStyle w:val="Hyperlink"/>
                <w:rFonts w:cstheme="minorHAnsi"/>
                <w:color w:val="auto"/>
                <w:u w:val="none"/>
              </w:rPr>
              <w:t>(April 2023)</w:t>
            </w:r>
          </w:p>
        </w:tc>
      </w:tr>
      <w:tr w:rsidR="001A0401" w:rsidRPr="000B4F66" w14:paraId="71A1E104" w14:textId="77777777" w:rsidTr="001A0401">
        <w:tc>
          <w:tcPr>
            <w:tcW w:w="3539" w:type="dxa"/>
          </w:tcPr>
          <w:p w14:paraId="188B4571" w14:textId="77777777" w:rsidR="001A0401" w:rsidRPr="000B4F66" w:rsidRDefault="001A0401" w:rsidP="005D7F88">
            <w:pPr>
              <w:rPr>
                <w:rFonts w:cstheme="minorHAnsi"/>
                <w:sz w:val="24"/>
                <w:szCs w:val="24"/>
              </w:rPr>
            </w:pPr>
            <w:r w:rsidRPr="000B4F66">
              <w:rPr>
                <w:rFonts w:cstheme="minorHAnsi"/>
                <w:sz w:val="24"/>
                <w:szCs w:val="24"/>
              </w:rPr>
              <w:t xml:space="preserve">Blood Service </w:t>
            </w:r>
          </w:p>
        </w:tc>
        <w:tc>
          <w:tcPr>
            <w:tcW w:w="5477" w:type="dxa"/>
          </w:tcPr>
          <w:p w14:paraId="31F3D0E6" w14:textId="77777777" w:rsidR="001A0401" w:rsidRPr="000B4F66" w:rsidRDefault="001A0401" w:rsidP="005D7F88">
            <w:pPr>
              <w:rPr>
                <w:rFonts w:cstheme="minorHAnsi"/>
                <w:sz w:val="24"/>
                <w:szCs w:val="24"/>
              </w:rPr>
            </w:pPr>
            <w:r w:rsidRPr="000B4F66">
              <w:rPr>
                <w:rFonts w:cstheme="minorHAnsi"/>
                <w:sz w:val="24"/>
                <w:szCs w:val="24"/>
              </w:rPr>
              <w:t>Normally charged @Band 3 dependent on capacity</w:t>
            </w:r>
          </w:p>
        </w:tc>
      </w:tr>
      <w:tr w:rsidR="001A0401" w:rsidRPr="000B4F66" w14:paraId="7831D96D" w14:textId="77777777" w:rsidTr="001A0401">
        <w:tc>
          <w:tcPr>
            <w:tcW w:w="3539" w:type="dxa"/>
          </w:tcPr>
          <w:p w14:paraId="6A425202" w14:textId="77777777" w:rsidR="001A0401" w:rsidRPr="000B4F66" w:rsidRDefault="001A0401" w:rsidP="005D7F88">
            <w:pPr>
              <w:rPr>
                <w:rFonts w:cstheme="minorHAnsi"/>
                <w:sz w:val="24"/>
                <w:szCs w:val="24"/>
              </w:rPr>
            </w:pPr>
            <w:r w:rsidRPr="000B4F66">
              <w:rPr>
                <w:rFonts w:cstheme="minorHAnsi"/>
                <w:sz w:val="24"/>
                <w:szCs w:val="24"/>
              </w:rPr>
              <w:t xml:space="preserve">Technical Support </w:t>
            </w:r>
          </w:p>
        </w:tc>
        <w:tc>
          <w:tcPr>
            <w:tcW w:w="5477" w:type="dxa"/>
          </w:tcPr>
          <w:p w14:paraId="0D5104CD" w14:textId="77777777" w:rsidR="001A0401" w:rsidRPr="000B4F66" w:rsidRDefault="001A0401" w:rsidP="005D7F88">
            <w:pPr>
              <w:rPr>
                <w:rFonts w:cstheme="minorHAnsi"/>
                <w:sz w:val="24"/>
                <w:szCs w:val="24"/>
              </w:rPr>
            </w:pPr>
            <w:r w:rsidRPr="000B4F66">
              <w:rPr>
                <w:rFonts w:cstheme="minorHAnsi"/>
                <w:sz w:val="24"/>
                <w:szCs w:val="24"/>
              </w:rPr>
              <w:t>Normally charged @ Band 6 dependent on capacity</w:t>
            </w:r>
          </w:p>
        </w:tc>
      </w:tr>
      <w:tr w:rsidR="001A0401" w:rsidRPr="000B4F66" w14:paraId="00791195" w14:textId="77777777" w:rsidTr="001A0401">
        <w:tc>
          <w:tcPr>
            <w:tcW w:w="3539" w:type="dxa"/>
          </w:tcPr>
          <w:p w14:paraId="2B6F2A34" w14:textId="77777777" w:rsidR="001A0401" w:rsidRPr="000B4F66" w:rsidRDefault="001A0401" w:rsidP="005D7F88">
            <w:pPr>
              <w:rPr>
                <w:rFonts w:cstheme="minorHAnsi"/>
                <w:sz w:val="24"/>
                <w:szCs w:val="24"/>
              </w:rPr>
            </w:pPr>
            <w:r w:rsidRPr="000B4F66">
              <w:rPr>
                <w:rFonts w:cstheme="minorHAnsi"/>
                <w:sz w:val="24"/>
                <w:szCs w:val="24"/>
              </w:rPr>
              <w:t xml:space="preserve">Admin Support </w:t>
            </w:r>
          </w:p>
        </w:tc>
        <w:tc>
          <w:tcPr>
            <w:tcW w:w="5477" w:type="dxa"/>
          </w:tcPr>
          <w:p w14:paraId="62B2CD41" w14:textId="77777777" w:rsidR="001A0401" w:rsidRPr="000B4F66" w:rsidRDefault="001A0401" w:rsidP="005D7F88">
            <w:pPr>
              <w:rPr>
                <w:rFonts w:cstheme="minorHAnsi"/>
                <w:sz w:val="24"/>
                <w:szCs w:val="24"/>
              </w:rPr>
            </w:pPr>
            <w:r w:rsidRPr="000B4F66">
              <w:rPr>
                <w:rFonts w:cstheme="minorHAnsi"/>
                <w:sz w:val="24"/>
                <w:szCs w:val="24"/>
              </w:rPr>
              <w:t>Normally charged @ Band 4 dependent on capacity</w:t>
            </w:r>
          </w:p>
        </w:tc>
      </w:tr>
    </w:tbl>
    <w:p w14:paraId="3FA421DF" w14:textId="77777777" w:rsidR="00E20BE6" w:rsidRPr="00E20BE6" w:rsidRDefault="00E20BE6" w:rsidP="00E20BE6">
      <w:pPr>
        <w:jc w:val="both"/>
        <w:rPr>
          <w:rFonts w:cstheme="minorHAnsi"/>
          <w:b/>
          <w:sz w:val="24"/>
          <w:szCs w:val="24"/>
        </w:rPr>
      </w:pPr>
    </w:p>
    <w:p w14:paraId="16B45051" w14:textId="77777777"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14:paraId="1E79EC60" w14:textId="77777777"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0"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14:paraId="466DD426" w14:textId="77777777" w:rsidR="00E20BE6" w:rsidRDefault="00E20BE6" w:rsidP="00E20BE6">
      <w:pPr>
        <w:jc w:val="both"/>
        <w:rPr>
          <w:rFonts w:cstheme="minorHAnsi"/>
        </w:rPr>
      </w:pPr>
    </w:p>
    <w:p w14:paraId="7E709543" w14:textId="77777777" w:rsidR="00E20BE6" w:rsidRDefault="00E20BE6" w:rsidP="00E20BE6">
      <w:pPr>
        <w:jc w:val="both"/>
        <w:rPr>
          <w:rFonts w:cstheme="minorHAnsi"/>
        </w:rPr>
      </w:pPr>
    </w:p>
    <w:p w14:paraId="401B14EA" w14:textId="77777777" w:rsidR="00E20BE6" w:rsidRDefault="00E20BE6" w:rsidP="00E20BE6">
      <w:pPr>
        <w:jc w:val="both"/>
        <w:rPr>
          <w:rFonts w:cstheme="minorHAnsi"/>
        </w:rPr>
      </w:pPr>
    </w:p>
    <w:p w14:paraId="69FE2C4C" w14:textId="77777777" w:rsidR="00B22159" w:rsidRPr="00BB16A1" w:rsidRDefault="00B22159" w:rsidP="00E20BE6">
      <w:pPr>
        <w:rPr>
          <w:sz w:val="24"/>
          <w:szCs w:val="24"/>
        </w:rPr>
      </w:pPr>
    </w:p>
    <w:sectPr w:rsidR="00B22159" w:rsidRPr="00BB16A1" w:rsidSect="00822325">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A53C4" w14:textId="77777777" w:rsidR="00ED42F9" w:rsidRDefault="00ED42F9" w:rsidP="00AA01B6">
      <w:pPr>
        <w:spacing w:after="0" w:line="240" w:lineRule="auto"/>
      </w:pPr>
      <w:r>
        <w:separator/>
      </w:r>
    </w:p>
  </w:endnote>
  <w:endnote w:type="continuationSeparator" w:id="0">
    <w:p w14:paraId="4BAFC9E3" w14:textId="77777777" w:rsidR="00ED42F9" w:rsidRDefault="00ED42F9"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FE94" w14:textId="77777777" w:rsidR="00D13FF1" w:rsidRDefault="00D13FF1" w:rsidP="004536E0">
    <w:pPr>
      <w:pStyle w:val="Footer"/>
    </w:pPr>
    <w:r>
      <w:t>*Basic consumables will normally include: ECG electrodes, sharps box; cotton wool; wipes; gallipots; gloves; paper rolls; tourniquet</w:t>
    </w:r>
  </w:p>
  <w:p w14:paraId="11A4206D" w14:textId="3C81038D" w:rsidR="00D13FF1" w:rsidRDefault="00D13FF1" w:rsidP="002A0E7D">
    <w:pPr>
      <w:pStyle w:val="Footer"/>
      <w:jc w:val="right"/>
    </w:pPr>
    <w:r>
      <w:t xml:space="preserve">Version </w:t>
    </w:r>
    <w:r w:rsidR="004C3665">
      <w:t>1</w:t>
    </w:r>
    <w:r w:rsidR="004778FE">
      <w:t>5</w:t>
    </w:r>
    <w:r w:rsidR="00EC527A">
      <w:t xml:space="preserve"> – </w:t>
    </w:r>
    <w:r w:rsidR="004778FE">
      <w:t>18APRIL2023</w:t>
    </w:r>
  </w:p>
  <w:p w14:paraId="607CB2F6" w14:textId="77777777"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D7A2" w14:textId="77777777" w:rsidR="00ED42F9" w:rsidRDefault="00ED42F9" w:rsidP="00AA01B6">
      <w:pPr>
        <w:spacing w:after="0" w:line="240" w:lineRule="auto"/>
      </w:pPr>
      <w:r>
        <w:separator/>
      </w:r>
    </w:p>
  </w:footnote>
  <w:footnote w:type="continuationSeparator" w:id="0">
    <w:p w14:paraId="37FE8065" w14:textId="77777777" w:rsidR="00ED42F9" w:rsidRDefault="00ED42F9"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7E"/>
    <w:rsid w:val="000B52E8"/>
    <w:rsid w:val="0018133A"/>
    <w:rsid w:val="0018552C"/>
    <w:rsid w:val="001A0401"/>
    <w:rsid w:val="001B7310"/>
    <w:rsid w:val="001F4D7C"/>
    <w:rsid w:val="0023345C"/>
    <w:rsid w:val="002646F3"/>
    <w:rsid w:val="0028121D"/>
    <w:rsid w:val="002A0E7D"/>
    <w:rsid w:val="002C0951"/>
    <w:rsid w:val="002F7432"/>
    <w:rsid w:val="00311268"/>
    <w:rsid w:val="0031427F"/>
    <w:rsid w:val="00315999"/>
    <w:rsid w:val="003170F5"/>
    <w:rsid w:val="003A66AA"/>
    <w:rsid w:val="003A6A68"/>
    <w:rsid w:val="003D7A7A"/>
    <w:rsid w:val="003E4985"/>
    <w:rsid w:val="00417C13"/>
    <w:rsid w:val="004536E0"/>
    <w:rsid w:val="004778FE"/>
    <w:rsid w:val="004A1DFA"/>
    <w:rsid w:val="004C3665"/>
    <w:rsid w:val="004C4EC6"/>
    <w:rsid w:val="004D153D"/>
    <w:rsid w:val="00512E2B"/>
    <w:rsid w:val="00525BEF"/>
    <w:rsid w:val="00544402"/>
    <w:rsid w:val="00556DDE"/>
    <w:rsid w:val="005708ED"/>
    <w:rsid w:val="005D442A"/>
    <w:rsid w:val="005F759E"/>
    <w:rsid w:val="0064437C"/>
    <w:rsid w:val="0065013C"/>
    <w:rsid w:val="006D4CEA"/>
    <w:rsid w:val="0075313F"/>
    <w:rsid w:val="00775D88"/>
    <w:rsid w:val="00791391"/>
    <w:rsid w:val="0079797E"/>
    <w:rsid w:val="007C3A48"/>
    <w:rsid w:val="00822325"/>
    <w:rsid w:val="00844B58"/>
    <w:rsid w:val="00853171"/>
    <w:rsid w:val="00881BA8"/>
    <w:rsid w:val="008D3121"/>
    <w:rsid w:val="008D3A78"/>
    <w:rsid w:val="00934845"/>
    <w:rsid w:val="009C2DAC"/>
    <w:rsid w:val="009D0E26"/>
    <w:rsid w:val="00A332BB"/>
    <w:rsid w:val="00A3557D"/>
    <w:rsid w:val="00A40A25"/>
    <w:rsid w:val="00A716B4"/>
    <w:rsid w:val="00AA01B6"/>
    <w:rsid w:val="00AA63AA"/>
    <w:rsid w:val="00B22159"/>
    <w:rsid w:val="00B65769"/>
    <w:rsid w:val="00BB16A1"/>
    <w:rsid w:val="00BE40D2"/>
    <w:rsid w:val="00C95249"/>
    <w:rsid w:val="00CA0A92"/>
    <w:rsid w:val="00CB639C"/>
    <w:rsid w:val="00CD6A32"/>
    <w:rsid w:val="00D13FF1"/>
    <w:rsid w:val="00D22494"/>
    <w:rsid w:val="00D36132"/>
    <w:rsid w:val="00E15461"/>
    <w:rsid w:val="00E20BE6"/>
    <w:rsid w:val="00E66A55"/>
    <w:rsid w:val="00E752BF"/>
    <w:rsid w:val="00E94813"/>
    <w:rsid w:val="00EC527A"/>
    <w:rsid w:val="00EC571A"/>
    <w:rsid w:val="00EC76F7"/>
    <w:rsid w:val="00ED42F9"/>
    <w:rsid w:val="00EE61E6"/>
    <w:rsid w:val="00F11A96"/>
    <w:rsid w:val="00F149AA"/>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008EA"/>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1">
    <w:name w:val="Unresolved Mention1"/>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CRF@qub.ac.uk"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8DA6-096D-40A4-9AC8-81F95C19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O'Neill</dc:creator>
  <cp:lastModifiedBy>Joanna Shooter</cp:lastModifiedBy>
  <cp:revision>3</cp:revision>
  <cp:lastPrinted>2018-02-06T14:37:00Z</cp:lastPrinted>
  <dcterms:created xsi:type="dcterms:W3CDTF">2023-04-18T14:21:00Z</dcterms:created>
  <dcterms:modified xsi:type="dcterms:W3CDTF">2023-04-18T14:25:00Z</dcterms:modified>
</cp:coreProperties>
</file>