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285" w:rsidRDefault="00D14344">
      <w:r>
        <w:rPr>
          <w:rFonts w:ascii="Cambria" w:eastAsia="Cambria" w:hAnsi="Cambria" w:cs="Cambria"/>
          <w:sz w:val="48"/>
        </w:rPr>
        <w:t xml:space="preserve">  </w:t>
      </w:r>
      <w:r>
        <w:rPr>
          <w:rFonts w:ascii="Cambria" w:eastAsia="Cambria" w:hAnsi="Cambria" w:cs="Cambria"/>
          <w:sz w:val="48"/>
        </w:rPr>
        <w:br/>
      </w:r>
    </w:p>
    <w:tbl>
      <w:tblPr>
        <w:tblStyle w:val="TableGrid"/>
        <w:tblW w:w="0" w:type="auto"/>
        <w:tblBorders>
          <w:top w:val="nil"/>
          <w:left w:val="nil"/>
          <w:bottom w:val="double" w:sz="0" w:space="0" w:color="000080"/>
          <w:right w:val="nil"/>
          <w:insideH w:val="nil"/>
          <w:insideV w:val="nil"/>
        </w:tblBorders>
        <w:tblLook w:val="04A0" w:firstRow="1" w:lastRow="0" w:firstColumn="1" w:lastColumn="0" w:noHBand="0" w:noVBand="1"/>
      </w:tblPr>
      <w:tblGrid>
        <w:gridCol w:w="10775"/>
      </w:tblGrid>
      <w:tr w:rsidR="00B80285">
        <w:tc>
          <w:tcPr>
            <w:tcW w:w="10775" w:type="dxa"/>
          </w:tcPr>
          <w:p w:rsidR="00B80285" w:rsidRDefault="00B80285"/>
        </w:tc>
      </w:tr>
    </w:tbl>
    <w:p w:rsidR="00B80285" w:rsidRDefault="00B80285"/>
    <w:p w:rsidR="00B80285" w:rsidRDefault="00D14344">
      <w:pPr>
        <w:jc w:val="center"/>
        <w:rPr>
          <w:rFonts w:ascii="Cambria" w:eastAsia="Cambria" w:hAnsi="Cambria" w:cs="Cambria"/>
          <w:color w:val="000080"/>
          <w:sz w:val="52"/>
        </w:rPr>
      </w:pPr>
      <w:r>
        <w:rPr>
          <w:rFonts w:ascii="Cambria" w:eastAsia="Cambria" w:hAnsi="Cambria" w:cs="Cambria"/>
          <w:b/>
          <w:color w:val="000080"/>
          <w:sz w:val="52"/>
        </w:rPr>
        <w:t>Impact of Covid-19 on incidence, survival and mortality of oral cancer in Northern Ireland</w:t>
      </w:r>
    </w:p>
    <w:p w:rsidR="00B80285" w:rsidRDefault="00D14344">
      <w:pPr>
        <w:jc w:val="center"/>
        <w:rPr>
          <w:rFonts w:ascii="Cambria" w:eastAsia="Cambria" w:hAnsi="Cambria" w:cs="Cambria"/>
          <w:color w:val="000080"/>
          <w:sz w:val="28"/>
        </w:rPr>
      </w:pPr>
      <w:r>
        <w:rPr>
          <w:rFonts w:ascii="Cambria" w:eastAsia="Cambria" w:hAnsi="Cambria" w:cs="Cambria"/>
          <w:b/>
          <w:color w:val="000080"/>
          <w:sz w:val="28"/>
        </w:rPr>
        <w:t>(A comparison between April-December of 2020 and 2018-2019)</w:t>
      </w:r>
    </w:p>
    <w:tbl>
      <w:tblPr>
        <w:tblStyle w:val="TableGrid"/>
        <w:tblW w:w="0" w:type="auto"/>
        <w:tblBorders>
          <w:top w:val="double" w:sz="0" w:space="0" w:color="000080"/>
          <w:left w:val="nil"/>
          <w:bottom w:val="nil"/>
          <w:right w:val="nil"/>
          <w:insideH w:val="nil"/>
          <w:insideV w:val="nil"/>
        </w:tblBorders>
        <w:tblLook w:val="04A0" w:firstRow="1" w:lastRow="0" w:firstColumn="1" w:lastColumn="0" w:noHBand="0" w:noVBand="1"/>
      </w:tblPr>
      <w:tblGrid>
        <w:gridCol w:w="10775"/>
      </w:tblGrid>
      <w:tr w:rsidR="00B80285">
        <w:tc>
          <w:tcPr>
            <w:tcW w:w="10775" w:type="dxa"/>
          </w:tcPr>
          <w:p w:rsidR="00B80285" w:rsidRDefault="00B80285"/>
        </w:tc>
      </w:tr>
    </w:tbl>
    <w:p w:rsidR="00B80285" w:rsidRDefault="00B80285"/>
    <w:p w:rsidR="00B80285" w:rsidRDefault="00D14344">
      <w:r>
        <w:rPr>
          <w:rFonts w:ascii="Cambria" w:eastAsia="Cambria" w:hAnsi="Cambria" w:cs="Cambria"/>
          <w:sz w:val="48"/>
        </w:rPr>
        <w:t xml:space="preserve">  </w:t>
      </w:r>
      <w:r>
        <w:rPr>
          <w:rFonts w:ascii="Cambria" w:eastAsia="Cambria" w:hAnsi="Cambria" w:cs="Cambria"/>
          <w:sz w:val="48"/>
        </w:rPr>
        <w:br/>
      </w:r>
      <w:r>
        <w:rPr>
          <w:rFonts w:ascii="Cambria" w:eastAsia="Cambria" w:hAnsi="Cambria" w:cs="Cambria"/>
          <w:sz w:val="48"/>
        </w:rPr>
        <w:br/>
      </w:r>
      <w:r>
        <w:rPr>
          <w:rFonts w:ascii="Cambria" w:eastAsia="Cambria" w:hAnsi="Cambria" w:cs="Cambria"/>
          <w:sz w:val="48"/>
        </w:rPr>
        <w:br/>
      </w:r>
      <w:r>
        <w:rPr>
          <w:rFonts w:ascii="Cambria" w:eastAsia="Cambria" w:hAnsi="Cambria" w:cs="Cambria"/>
          <w:sz w:val="48"/>
        </w:rPr>
        <w:br/>
      </w:r>
      <w:r>
        <w:rPr>
          <w:rFonts w:ascii="Cambria" w:eastAsia="Cambria" w:hAnsi="Cambria" w:cs="Cambria"/>
          <w:sz w:val="48"/>
        </w:rPr>
        <w:br/>
      </w:r>
      <w:r>
        <w:rPr>
          <w:rFonts w:ascii="Cambria" w:eastAsia="Cambria" w:hAnsi="Cambria" w:cs="Cambria"/>
          <w:sz w:val="48"/>
        </w:rPr>
        <w:br/>
      </w:r>
    </w:p>
    <w:p w:rsidR="00B80285" w:rsidRDefault="00D14344">
      <w:pPr>
        <w:spacing w:before="60" w:after="60" w:line="300" w:lineRule="auto"/>
      </w:pPr>
      <w:r>
        <w:rPr>
          <w:rFonts w:ascii="Cambria" w:eastAsia="Cambria" w:hAnsi="Cambria" w:cs="Cambria"/>
          <w:b/>
          <w:color w:val="000080"/>
          <w:u w:val="single"/>
        </w:rPr>
        <w:t>Further information</w:t>
      </w:r>
    </w:p>
    <w:p w:rsidR="00B80285" w:rsidRDefault="00D14344">
      <w:pPr>
        <w:spacing w:before="60" w:after="60" w:line="300" w:lineRule="auto"/>
        <w:rPr>
          <w:rFonts w:ascii="Cambria" w:eastAsia="Cambria" w:hAnsi="Cambria" w:cs="Cambria"/>
          <w:sz w:val="20"/>
        </w:rPr>
      </w:pPr>
      <w:r>
        <w:rPr>
          <w:rFonts w:ascii="Cambria" w:eastAsia="Cambria" w:hAnsi="Cambria" w:cs="Cambria"/>
          <w:sz w:val="20"/>
        </w:rPr>
        <w:t>Further information is available at: www.qub.ac.uk/research-centres/nicr</w:t>
      </w:r>
      <w:r>
        <w:rPr>
          <w:rFonts w:ascii="Cambria" w:eastAsia="Cambria" w:hAnsi="Cambria" w:cs="Cambria"/>
          <w:sz w:val="20"/>
        </w:rPr>
        <w:br/>
      </w:r>
      <w:r>
        <w:rPr>
          <w:rFonts w:ascii="Cambria" w:eastAsia="Cambria" w:hAnsi="Cambria" w:cs="Cambria"/>
          <w:b/>
          <w:sz w:val="20"/>
        </w:rPr>
        <w:t xml:space="preserve">Phone: </w:t>
      </w:r>
      <w:r>
        <w:rPr>
          <w:rFonts w:ascii="Cambria" w:eastAsia="Cambria" w:hAnsi="Cambria" w:cs="Cambria"/>
          <w:sz w:val="20"/>
        </w:rPr>
        <w:t>+44 (0)28 9097 6028</w:t>
      </w:r>
      <w:r>
        <w:rPr>
          <w:rFonts w:ascii="Cambria" w:eastAsia="Cambria" w:hAnsi="Cambria" w:cs="Cambria"/>
          <w:sz w:val="20"/>
        </w:rPr>
        <w:br/>
      </w:r>
      <w:r>
        <w:rPr>
          <w:rFonts w:ascii="Cambria" w:eastAsia="Cambria" w:hAnsi="Cambria" w:cs="Cambria"/>
          <w:b/>
          <w:sz w:val="20"/>
        </w:rPr>
        <w:t xml:space="preserve">e-mail: </w:t>
      </w:r>
      <w:r>
        <w:rPr>
          <w:rFonts w:ascii="Cambria" w:eastAsia="Cambria" w:hAnsi="Cambria" w:cs="Cambria"/>
          <w:sz w:val="20"/>
        </w:rPr>
        <w:t>nicr@qub.ac.uk</w:t>
      </w:r>
      <w:r>
        <w:rPr>
          <w:rFonts w:ascii="Cambria" w:eastAsia="Cambria" w:hAnsi="Cambria" w:cs="Cambria"/>
          <w:sz w:val="20"/>
        </w:rPr>
        <w:br/>
      </w:r>
    </w:p>
    <w:p w:rsidR="00B80285" w:rsidRDefault="00D14344">
      <w:pPr>
        <w:spacing w:before="60" w:after="60" w:line="300" w:lineRule="auto"/>
      </w:pPr>
      <w:r>
        <w:rPr>
          <w:rFonts w:ascii="Cambria" w:eastAsia="Cambria" w:hAnsi="Cambria" w:cs="Cambria"/>
          <w:b/>
          <w:color w:val="000080"/>
          <w:u w:val="single"/>
        </w:rPr>
        <w:t>Acknowledgements</w:t>
      </w:r>
    </w:p>
    <w:p w:rsidR="00B80285" w:rsidRDefault="00D14344">
      <w:pPr>
        <w:spacing w:before="60" w:after="60" w:line="300" w:lineRule="auto"/>
        <w:rPr>
          <w:rFonts w:ascii="Cambria" w:eastAsia="Cambria" w:hAnsi="Cambria" w:cs="Cambria"/>
          <w:sz w:val="20"/>
        </w:rPr>
      </w:pPr>
      <w:r>
        <w:rPr>
          <w:rFonts w:ascii="Cambria" w:eastAsia="Cambria" w:hAnsi="Cambria" w:cs="Cambria"/>
          <w:sz w:val="20"/>
        </w:rPr>
        <w:t>The Northern Ireland Cancer Registry (NICR) is funded by the Public Health Agency and is based in Queen's University, Belfast.</w:t>
      </w:r>
    </w:p>
    <w:p w:rsidR="00B80285" w:rsidRDefault="00D14344">
      <w:pPr>
        <w:spacing w:before="60" w:after="60" w:line="300" w:lineRule="auto"/>
        <w:rPr>
          <w:rFonts w:ascii="Cambria" w:eastAsia="Cambria" w:hAnsi="Cambria" w:cs="Cambria"/>
          <w:sz w:val="20"/>
        </w:rPr>
      </w:pPr>
      <w:r>
        <w:rPr>
          <w:rFonts w:ascii="Cambria" w:eastAsia="Cambria" w:hAnsi="Cambria" w:cs="Cambria"/>
          <w:sz w:val="20"/>
        </w:rPr>
        <w:t>NICR uses data provided by patients and collected by the health service as part of their care and support.</w:t>
      </w:r>
    </w:p>
    <w:p w:rsidR="00B80285" w:rsidRDefault="00D14344">
      <w:pPr>
        <w:spacing w:before="60" w:after="60" w:line="300" w:lineRule="auto"/>
        <w:rPr>
          <w:rFonts w:ascii="Cambria" w:eastAsia="Cambria" w:hAnsi="Cambria" w:cs="Cambria"/>
          <w:sz w:val="20"/>
        </w:rPr>
      </w:pPr>
      <w:r>
        <w:rPr>
          <w:rFonts w:ascii="Cambria" w:eastAsia="Cambria" w:hAnsi="Cambria" w:cs="Cambria"/>
          <w:sz w:val="20"/>
        </w:rPr>
        <w:t>The incidence, prevale</w:t>
      </w:r>
      <w:r>
        <w:rPr>
          <w:rFonts w:ascii="Cambria" w:eastAsia="Cambria" w:hAnsi="Cambria" w:cs="Cambria"/>
          <w:sz w:val="20"/>
        </w:rPr>
        <w:t>nce and survival statistics in this publication are designated as official statistics signifying that they comply with the Code of Practice for Official Statistics.</w:t>
      </w:r>
      <w:r>
        <w:rPr>
          <w:rFonts w:ascii="Cambria" w:eastAsia="Cambria" w:hAnsi="Cambria" w:cs="Cambria"/>
          <w:sz w:val="20"/>
        </w:rPr>
        <w:br/>
      </w:r>
    </w:p>
    <w:p w:rsidR="00B80285" w:rsidRDefault="00D14344">
      <w:pPr>
        <w:spacing w:after="0" w:line="500" w:lineRule="auto"/>
        <w:jc w:val="center"/>
        <w:textAlignment w:val="center"/>
      </w:pPr>
      <w:r>
        <w:rPr>
          <w:noProof/>
          <w:lang w:val="en-GB" w:eastAsia="en-GB"/>
        </w:rPr>
        <w:drawing>
          <wp:inline distT="0" distB="0" distL="0" distR="0">
            <wp:extent cx="1259840" cy="765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59840" cy="765958"/>
                    </a:xfrm>
                    <a:prstGeom prst="rect">
                      <a:avLst/>
                    </a:prstGeom>
                  </pic:spPr>
                </pic:pic>
              </a:graphicData>
            </a:graphic>
          </wp:inline>
        </w:drawing>
      </w:r>
      <w:r>
        <w:t xml:space="preserve">               </w:t>
      </w:r>
      <w:r>
        <w:rPr>
          <w:noProof/>
          <w:lang w:val="en-GB" w:eastAsia="en-GB"/>
        </w:rPr>
        <w:drawing>
          <wp:inline distT="0" distB="0" distL="0" distR="0">
            <wp:extent cx="1259840" cy="454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tretch>
                      <a:fillRect/>
                    </a:stretch>
                  </pic:blipFill>
                  <pic:spPr>
                    <a:xfrm>
                      <a:off x="0" y="0"/>
                      <a:ext cx="1259840" cy="454512"/>
                    </a:xfrm>
                    <a:prstGeom prst="rect">
                      <a:avLst/>
                    </a:prstGeom>
                  </pic:spPr>
                </pic:pic>
              </a:graphicData>
            </a:graphic>
          </wp:inline>
        </w:drawing>
      </w:r>
      <w:r>
        <w:t xml:space="preserve">               </w:t>
      </w:r>
      <w:r>
        <w:rPr>
          <w:noProof/>
          <w:lang w:val="en-GB" w:eastAsia="en-GB"/>
        </w:rPr>
        <w:drawing>
          <wp:inline distT="0" distB="0" distL="0" distR="0">
            <wp:extent cx="1259840" cy="329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stretch>
                      <a:fillRect/>
                    </a:stretch>
                  </pic:blipFill>
                  <pic:spPr>
                    <a:xfrm>
                      <a:off x="0" y="0"/>
                      <a:ext cx="1259840" cy="329658"/>
                    </a:xfrm>
                    <a:prstGeom prst="rect">
                      <a:avLst/>
                    </a:prstGeom>
                  </pic:spPr>
                </pic:pic>
              </a:graphicData>
            </a:graphic>
          </wp:inline>
        </w:drawing>
      </w:r>
    </w:p>
    <w:p w:rsidR="00B80285" w:rsidRDefault="00D14344">
      <w:r>
        <w:br w:type="page"/>
      </w:r>
    </w:p>
    <w:p w:rsidR="00B80285" w:rsidRDefault="00B80285">
      <w:pPr>
        <w:sectPr w:rsidR="00B80285">
          <w:pgSz w:w="11907" w:h="16839" w:code="9"/>
          <w:pgMar w:top="566" w:right="566" w:bottom="0" w:left="566" w:header="720" w:footer="720" w:gutter="0"/>
          <w:cols w:space="720"/>
        </w:sectPr>
      </w:pPr>
    </w:p>
    <w:p w:rsidR="00B80285" w:rsidRDefault="00D14344">
      <w:pPr>
        <w:shd w:val="solid" w:color="000080" w:fill="FFFFFF"/>
        <w:rPr>
          <w:rFonts w:ascii="Cambria" w:eastAsia="Cambria" w:hAnsi="Cambria" w:cs="Cambria"/>
          <w:color w:val="FFFFFF"/>
          <w:sz w:val="32"/>
        </w:rPr>
      </w:pPr>
      <w:r>
        <w:rPr>
          <w:rFonts w:ascii="Cambria" w:eastAsia="Cambria" w:hAnsi="Cambria" w:cs="Cambria"/>
          <w:b/>
          <w:smallCaps/>
          <w:color w:val="FFFFFF"/>
          <w:sz w:val="32"/>
        </w:rPr>
        <w:lastRenderedPageBreak/>
        <w:t>Incidence</w:t>
      </w:r>
    </w:p>
    <w:p w:rsidR="00B80285" w:rsidRDefault="00D14344">
      <w:pPr>
        <w:spacing w:before="60" w:after="240" w:line="300" w:lineRule="auto"/>
        <w:rPr>
          <w:rFonts w:ascii="Cambria" w:eastAsia="Cambria" w:hAnsi="Cambria" w:cs="Cambria"/>
        </w:rPr>
      </w:pPr>
      <w:r>
        <w:rPr>
          <w:rFonts w:ascii="Cambria" w:eastAsia="Cambria" w:hAnsi="Cambria" w:cs="Cambria"/>
        </w:rPr>
        <w:t xml:space="preserve">During the April-December period when Covid-19 was present the number of cases of oral cancer diagnosed decreased by 35.6% (78 patients) from 219 per year in 2018 - 2019 to 141 in 2020. </w:t>
      </w:r>
    </w:p>
    <w:p w:rsidR="00B80285" w:rsidRDefault="00D14344">
      <w:pPr>
        <w:spacing w:after="0"/>
        <w:ind w:left="283"/>
      </w:pPr>
      <w:r>
        <w:rPr>
          <w:rFonts w:ascii="Cambria" w:eastAsia="Cambria" w:hAnsi="Cambria" w:cs="Cambria"/>
          <w:b/>
          <w:i/>
          <w:color w:val="000080"/>
          <w:sz w:val="20"/>
        </w:rPr>
        <w:t xml:space="preserve">Table 1: Number of oral cancer cases diagnosed in 2018-2020 by month </w:t>
      </w:r>
      <w:r>
        <w:rPr>
          <w:rFonts w:ascii="Cambria" w:eastAsia="Cambria" w:hAnsi="Cambria" w:cs="Cambria"/>
          <w:b/>
          <w:i/>
          <w:color w:val="000080"/>
          <w:sz w:val="20"/>
        </w:rPr>
        <w:t>and year of diagnosis</w:t>
      </w:r>
    </w:p>
    <w:tbl>
      <w:tblPr>
        <w:tblStyle w:val="TableGrid"/>
        <w:tblW w:w="4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1301"/>
        <w:gridCol w:w="1278"/>
        <w:gridCol w:w="637"/>
        <w:gridCol w:w="641"/>
        <w:gridCol w:w="645"/>
        <w:gridCol w:w="642"/>
        <w:gridCol w:w="646"/>
        <w:gridCol w:w="638"/>
        <w:gridCol w:w="632"/>
        <w:gridCol w:w="643"/>
        <w:gridCol w:w="648"/>
        <w:gridCol w:w="638"/>
        <w:gridCol w:w="643"/>
        <w:gridCol w:w="642"/>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Period of diagnosis</w:t>
            </w:r>
          </w:p>
        </w:tc>
        <w:tc>
          <w:tcPr>
            <w:tcW w:w="0" w:type="auto"/>
            <w:vMerge w:val="restart"/>
            <w:tcBorders>
              <w:left w:val="single" w:sz="0" w:space="0" w:color="000000"/>
              <w:right w:val="single" w:sz="0" w:space="0" w:color="000000"/>
            </w:tcBorders>
            <w:vAlign w:val="center"/>
          </w:tcPr>
          <w:p w:rsidR="00B80285" w:rsidRDefault="00D14344">
            <w:pPr>
              <w:jc w:val="center"/>
            </w:pPr>
            <w:r>
              <w:rPr>
                <w:rFonts w:ascii="Cambria" w:eastAsia="Cambria" w:hAnsi="Cambria" w:cs="Cambria"/>
                <w:b/>
                <w:sz w:val="20"/>
              </w:rPr>
              <w:t>Annual total</w:t>
            </w:r>
          </w:p>
        </w:tc>
        <w:tc>
          <w:tcPr>
            <w:tcW w:w="0" w:type="auto"/>
            <w:gridSpan w:val="12"/>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Month diagnosed</w:t>
            </w:r>
          </w:p>
        </w:tc>
      </w:tr>
      <w:tr w:rsidR="00B80285">
        <w:trPr>
          <w:jc w:val="center"/>
        </w:trPr>
        <w:tc>
          <w:tcPr>
            <w:tcW w:w="1346"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pddiag</w:t>
            </w:r>
          </w:p>
        </w:tc>
        <w:tc>
          <w:tcPr>
            <w:tcW w:w="1346" w:type="dxa"/>
            <w:vMerge/>
            <w:tcBorders>
              <w:left w:val="single" w:sz="0" w:space="0" w:color="000000"/>
              <w:bottom w:val="single" w:sz="0" w:space="0" w:color="000000"/>
              <w:right w:val="single" w:sz="0" w:space="0" w:color="000000"/>
            </w:tcBorders>
            <w:vAlign w:val="center"/>
          </w:tcPr>
          <w:p w:rsidR="00B80285" w:rsidRDefault="00B80285">
            <w:pPr>
              <w:jc w:val="center"/>
            </w:pPr>
          </w:p>
        </w:tc>
        <w:tc>
          <w:tcPr>
            <w:tcW w:w="67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Jan</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Feb</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Mar</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Apr</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May</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Jun</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Jul</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Aug</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Sept</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Oct</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Nov</w:t>
            </w:r>
          </w:p>
        </w:tc>
        <w:tc>
          <w:tcPr>
            <w:tcW w:w="673" w:type="dxa"/>
            <w:tcBorders>
              <w:bottom w:val="single" w:sz="0" w:space="0" w:color="000000"/>
            </w:tcBorders>
            <w:vAlign w:val="center"/>
          </w:tcPr>
          <w:p w:rsidR="00B80285" w:rsidRDefault="00D14344">
            <w:pPr>
              <w:jc w:val="center"/>
            </w:pPr>
            <w:r>
              <w:rPr>
                <w:rFonts w:ascii="Cambria" w:eastAsia="Cambria" w:hAnsi="Cambria" w:cs="Cambria"/>
                <w:b/>
                <w:sz w:val="20"/>
              </w:rPr>
              <w:t>Dec</w:t>
            </w:r>
          </w:p>
        </w:tc>
      </w:tr>
      <w:tr w:rsidR="00B80285">
        <w:trPr>
          <w:jc w:val="center"/>
        </w:trPr>
        <w:tc>
          <w:tcPr>
            <w:tcW w:w="1346" w:type="dxa"/>
            <w:tcBorders>
              <w:top w:val="single" w:sz="0" w:space="0" w:color="000000"/>
              <w:right w:val="single" w:sz="0" w:space="0" w:color="000000"/>
            </w:tcBorders>
            <w:vAlign w:val="center"/>
          </w:tcPr>
          <w:p w:rsidR="00B80285" w:rsidRDefault="00D14344">
            <w:r>
              <w:rPr>
                <w:rFonts w:ascii="Cambria" w:eastAsia="Cambria" w:hAnsi="Cambria" w:cs="Cambria"/>
                <w:b/>
                <w:sz w:val="20"/>
              </w:rPr>
              <w:t>2018-2019*</w:t>
            </w:r>
          </w:p>
        </w:tc>
        <w:tc>
          <w:tcPr>
            <w:tcW w:w="1346" w:type="dxa"/>
            <w:tcBorders>
              <w:top w:val="single" w:sz="0" w:space="0" w:color="000000"/>
              <w:left w:val="single" w:sz="0" w:space="0" w:color="000000"/>
              <w:right w:val="single" w:sz="0" w:space="0" w:color="000000"/>
            </w:tcBorders>
            <w:vAlign w:val="center"/>
          </w:tcPr>
          <w:p w:rsidR="00B80285" w:rsidRDefault="00D14344">
            <w:pPr>
              <w:jc w:val="center"/>
            </w:pPr>
            <w:r>
              <w:rPr>
                <w:rFonts w:ascii="Cambria" w:eastAsia="Cambria" w:hAnsi="Cambria" w:cs="Cambria"/>
                <w:sz w:val="20"/>
              </w:rPr>
              <w:t>282</w:t>
            </w:r>
          </w:p>
        </w:tc>
        <w:tc>
          <w:tcPr>
            <w:tcW w:w="67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24</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22</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17</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22</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30</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22</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18</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27</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24</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28</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28</w:t>
            </w:r>
          </w:p>
        </w:tc>
        <w:tc>
          <w:tcPr>
            <w:tcW w:w="673" w:type="dxa"/>
            <w:tcBorders>
              <w:top w:val="single" w:sz="0" w:space="0" w:color="000000"/>
            </w:tcBorders>
            <w:vAlign w:val="center"/>
          </w:tcPr>
          <w:p w:rsidR="00B80285" w:rsidRDefault="00D14344">
            <w:pPr>
              <w:jc w:val="center"/>
            </w:pPr>
            <w:r>
              <w:rPr>
                <w:rFonts w:ascii="Cambria" w:eastAsia="Cambria" w:hAnsi="Cambria" w:cs="Cambria"/>
                <w:sz w:val="20"/>
              </w:rPr>
              <w:t>22</w:t>
            </w:r>
          </w:p>
        </w:tc>
      </w:tr>
      <w:tr w:rsidR="00B80285">
        <w:trPr>
          <w:jc w:val="center"/>
        </w:trPr>
        <w:tc>
          <w:tcPr>
            <w:tcW w:w="1346" w:type="dxa"/>
            <w:tcBorders>
              <w:right w:val="single" w:sz="0" w:space="0" w:color="000000"/>
            </w:tcBorders>
            <w:vAlign w:val="center"/>
          </w:tcPr>
          <w:p w:rsidR="00B80285" w:rsidRDefault="00D14344">
            <w:r>
              <w:rPr>
                <w:rFonts w:ascii="Cambria" w:eastAsia="Cambria" w:hAnsi="Cambria" w:cs="Cambria"/>
                <w:b/>
                <w:sz w:val="20"/>
              </w:rPr>
              <w:t>2020</w:t>
            </w:r>
          </w:p>
        </w:tc>
        <w:tc>
          <w:tcPr>
            <w:tcW w:w="1346" w:type="dxa"/>
            <w:tcBorders>
              <w:left w:val="single" w:sz="0" w:space="0" w:color="000000"/>
              <w:right w:val="single" w:sz="0" w:space="0" w:color="000000"/>
            </w:tcBorders>
            <w:vAlign w:val="center"/>
          </w:tcPr>
          <w:p w:rsidR="00B80285" w:rsidRDefault="00D14344">
            <w:pPr>
              <w:jc w:val="center"/>
            </w:pPr>
            <w:r>
              <w:rPr>
                <w:rFonts w:ascii="Cambria" w:eastAsia="Cambria" w:hAnsi="Cambria" w:cs="Cambria"/>
                <w:sz w:val="20"/>
              </w:rPr>
              <w:t>196</w:t>
            </w:r>
          </w:p>
        </w:tc>
        <w:tc>
          <w:tcPr>
            <w:tcW w:w="673" w:type="dxa"/>
            <w:tcBorders>
              <w:left w:val="single" w:sz="0" w:space="0" w:color="000000"/>
            </w:tcBorders>
            <w:vAlign w:val="center"/>
          </w:tcPr>
          <w:p w:rsidR="00B80285" w:rsidRDefault="00D14344">
            <w:pPr>
              <w:jc w:val="center"/>
            </w:pPr>
            <w:r>
              <w:rPr>
                <w:rFonts w:ascii="Cambria" w:eastAsia="Cambria" w:hAnsi="Cambria" w:cs="Cambria"/>
                <w:sz w:val="20"/>
              </w:rPr>
              <w:t>22</w:t>
            </w:r>
          </w:p>
        </w:tc>
        <w:tc>
          <w:tcPr>
            <w:tcW w:w="673" w:type="dxa"/>
            <w:vAlign w:val="center"/>
          </w:tcPr>
          <w:p w:rsidR="00B80285" w:rsidRDefault="00D14344">
            <w:pPr>
              <w:jc w:val="center"/>
            </w:pPr>
            <w:r>
              <w:rPr>
                <w:rFonts w:ascii="Cambria" w:eastAsia="Cambria" w:hAnsi="Cambria" w:cs="Cambria"/>
                <w:sz w:val="20"/>
              </w:rPr>
              <w:t>18</w:t>
            </w:r>
          </w:p>
        </w:tc>
        <w:tc>
          <w:tcPr>
            <w:tcW w:w="673" w:type="dxa"/>
            <w:vAlign w:val="center"/>
          </w:tcPr>
          <w:p w:rsidR="00B80285" w:rsidRDefault="00D14344">
            <w:pPr>
              <w:jc w:val="center"/>
            </w:pPr>
            <w:r>
              <w:rPr>
                <w:rFonts w:ascii="Cambria" w:eastAsia="Cambria" w:hAnsi="Cambria" w:cs="Cambria"/>
                <w:sz w:val="20"/>
              </w:rPr>
              <w:t>15</w:t>
            </w:r>
          </w:p>
        </w:tc>
        <w:tc>
          <w:tcPr>
            <w:tcW w:w="673" w:type="dxa"/>
            <w:vAlign w:val="center"/>
          </w:tcPr>
          <w:p w:rsidR="00B80285" w:rsidRDefault="00D14344">
            <w:pPr>
              <w:jc w:val="center"/>
            </w:pPr>
            <w:r>
              <w:rPr>
                <w:rFonts w:ascii="Cambria" w:eastAsia="Cambria" w:hAnsi="Cambria" w:cs="Cambria"/>
                <w:sz w:val="20"/>
              </w:rPr>
              <w:t>6</w:t>
            </w:r>
          </w:p>
        </w:tc>
        <w:tc>
          <w:tcPr>
            <w:tcW w:w="673" w:type="dxa"/>
            <w:vAlign w:val="center"/>
          </w:tcPr>
          <w:p w:rsidR="00B80285" w:rsidRDefault="00D14344">
            <w:pPr>
              <w:jc w:val="center"/>
            </w:pPr>
            <w:r>
              <w:rPr>
                <w:rFonts w:ascii="Cambria" w:eastAsia="Cambria" w:hAnsi="Cambria" w:cs="Cambria"/>
                <w:sz w:val="20"/>
              </w:rPr>
              <w:t>14</w:t>
            </w:r>
          </w:p>
        </w:tc>
        <w:tc>
          <w:tcPr>
            <w:tcW w:w="673" w:type="dxa"/>
            <w:vAlign w:val="center"/>
          </w:tcPr>
          <w:p w:rsidR="00B80285" w:rsidRDefault="00D14344">
            <w:pPr>
              <w:jc w:val="center"/>
            </w:pPr>
            <w:r>
              <w:rPr>
                <w:rFonts w:ascii="Cambria" w:eastAsia="Cambria" w:hAnsi="Cambria" w:cs="Cambria"/>
                <w:sz w:val="20"/>
              </w:rPr>
              <w:t>17</w:t>
            </w:r>
          </w:p>
        </w:tc>
        <w:tc>
          <w:tcPr>
            <w:tcW w:w="673" w:type="dxa"/>
            <w:vAlign w:val="center"/>
          </w:tcPr>
          <w:p w:rsidR="00B80285" w:rsidRDefault="00D14344">
            <w:pPr>
              <w:jc w:val="center"/>
            </w:pPr>
            <w:r>
              <w:rPr>
                <w:rFonts w:ascii="Cambria" w:eastAsia="Cambria" w:hAnsi="Cambria" w:cs="Cambria"/>
                <w:sz w:val="20"/>
              </w:rPr>
              <w:t>13</w:t>
            </w:r>
          </w:p>
        </w:tc>
        <w:tc>
          <w:tcPr>
            <w:tcW w:w="673" w:type="dxa"/>
            <w:vAlign w:val="center"/>
          </w:tcPr>
          <w:p w:rsidR="00B80285" w:rsidRDefault="00D14344">
            <w:pPr>
              <w:jc w:val="center"/>
            </w:pPr>
            <w:r>
              <w:rPr>
                <w:rFonts w:ascii="Cambria" w:eastAsia="Cambria" w:hAnsi="Cambria" w:cs="Cambria"/>
                <w:sz w:val="20"/>
              </w:rPr>
              <w:t>19</w:t>
            </w:r>
          </w:p>
        </w:tc>
        <w:tc>
          <w:tcPr>
            <w:tcW w:w="673" w:type="dxa"/>
            <w:vAlign w:val="center"/>
          </w:tcPr>
          <w:p w:rsidR="00B80285" w:rsidRDefault="00D14344">
            <w:pPr>
              <w:jc w:val="center"/>
            </w:pPr>
            <w:r>
              <w:rPr>
                <w:rFonts w:ascii="Cambria" w:eastAsia="Cambria" w:hAnsi="Cambria" w:cs="Cambria"/>
                <w:sz w:val="20"/>
              </w:rPr>
              <w:t>15</w:t>
            </w:r>
          </w:p>
        </w:tc>
        <w:tc>
          <w:tcPr>
            <w:tcW w:w="673" w:type="dxa"/>
            <w:vAlign w:val="center"/>
          </w:tcPr>
          <w:p w:rsidR="00B80285" w:rsidRDefault="00D14344">
            <w:pPr>
              <w:jc w:val="center"/>
            </w:pPr>
            <w:r>
              <w:rPr>
                <w:rFonts w:ascii="Cambria" w:eastAsia="Cambria" w:hAnsi="Cambria" w:cs="Cambria"/>
                <w:sz w:val="20"/>
              </w:rPr>
              <w:t>18</w:t>
            </w:r>
          </w:p>
        </w:tc>
        <w:tc>
          <w:tcPr>
            <w:tcW w:w="673" w:type="dxa"/>
            <w:vAlign w:val="center"/>
          </w:tcPr>
          <w:p w:rsidR="00B80285" w:rsidRDefault="00D14344">
            <w:pPr>
              <w:jc w:val="center"/>
            </w:pPr>
            <w:r>
              <w:rPr>
                <w:rFonts w:ascii="Cambria" w:eastAsia="Cambria" w:hAnsi="Cambria" w:cs="Cambria"/>
                <w:sz w:val="20"/>
              </w:rPr>
              <w:t>17</w:t>
            </w:r>
          </w:p>
        </w:tc>
        <w:tc>
          <w:tcPr>
            <w:tcW w:w="673" w:type="dxa"/>
            <w:vAlign w:val="center"/>
          </w:tcPr>
          <w:p w:rsidR="00B80285" w:rsidRDefault="00D14344">
            <w:pPr>
              <w:jc w:val="center"/>
            </w:pPr>
            <w:r>
              <w:rPr>
                <w:rFonts w:ascii="Cambria" w:eastAsia="Cambria" w:hAnsi="Cambria" w:cs="Cambria"/>
                <w:sz w:val="20"/>
              </w:rPr>
              <w:t>22</w:t>
            </w:r>
          </w:p>
        </w:tc>
      </w:tr>
      <w:tr w:rsidR="00B80285">
        <w:trPr>
          <w:jc w:val="center"/>
        </w:trPr>
        <w:tc>
          <w:tcPr>
            <w:tcW w:w="0" w:type="auto"/>
            <w:gridSpan w:val="14"/>
          </w:tcPr>
          <w:p w:rsidR="00B80285" w:rsidRDefault="00D14344">
            <w:r>
              <w:rPr>
                <w:rFonts w:ascii="Cambria" w:eastAsia="Cambria" w:hAnsi="Cambria" w:cs="Cambria"/>
                <w:i/>
                <w:sz w:val="16"/>
              </w:rPr>
              <w:t>* Average cases per year rounded to the nearest integer. Row sums may thus differ slightly from the total.</w:t>
            </w:r>
          </w:p>
        </w:tc>
      </w:tr>
    </w:tbl>
    <w:p w:rsidR="00B80285" w:rsidRDefault="00B80285"/>
    <w:p w:rsidR="00B80285" w:rsidRDefault="00D14344">
      <w:pPr>
        <w:spacing w:after="0"/>
        <w:ind w:left="283"/>
      </w:pPr>
      <w:r>
        <w:rPr>
          <w:rFonts w:ascii="Cambria" w:eastAsia="Cambria" w:hAnsi="Cambria" w:cs="Cambria"/>
          <w:b/>
          <w:i/>
          <w:color w:val="000080"/>
          <w:sz w:val="20"/>
        </w:rPr>
        <w:t>Figure 1: Number of oral cancer cases diagnosed in 2018-2020 by month and year of diagnosis</w:t>
      </w:r>
    </w:p>
    <w:p w:rsidR="00B80285" w:rsidRDefault="00D14344">
      <w:pPr>
        <w:spacing w:after="0"/>
        <w:ind w:left="283"/>
      </w:pPr>
      <w:r>
        <w:rPr>
          <w:rFonts w:ascii="Cambria" w:eastAsia="Cambria" w:hAnsi="Cambria" w:cs="Cambria"/>
          <w:b/>
          <w:i/>
          <w:color w:val="000080"/>
          <w:sz w:val="20"/>
        </w:rPr>
        <w:t>(a) Number of cases diagnosed</w:t>
      </w:r>
    </w:p>
    <w:p w:rsidR="00B80285" w:rsidRDefault="00D14344">
      <w:pPr>
        <w:spacing w:after="0"/>
        <w:ind w:left="283"/>
        <w:jc w:val="center"/>
      </w:pPr>
      <w:r>
        <w:rPr>
          <w:noProof/>
          <w:lang w:val="en-GB" w:eastAsia="en-GB"/>
        </w:rPr>
        <w:drawing>
          <wp:inline distT="0" distB="0" distL="0" distR="0">
            <wp:extent cx="5399405" cy="3166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a:stretch>
                      <a:fillRect/>
                    </a:stretch>
                  </pic:blipFill>
                  <pic:spPr>
                    <a:xfrm>
                      <a:off x="0" y="0"/>
                      <a:ext cx="5399405" cy="3166993"/>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month of diagnosis</w:t>
      </w:r>
    </w:p>
    <w:p w:rsidR="00B80285" w:rsidRDefault="00D14344">
      <w:pPr>
        <w:spacing w:after="0"/>
        <w:ind w:left="283"/>
        <w:jc w:val="center"/>
      </w:pPr>
      <w:r>
        <w:rPr>
          <w:noProof/>
          <w:lang w:val="en-GB" w:eastAsia="en-GB"/>
        </w:rPr>
        <w:drawing>
          <wp:inline distT="0" distB="0" distL="0" distR="0">
            <wp:extent cx="5399405" cy="31669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a:stretch>
                      <a:fillRect/>
                    </a:stretch>
                  </pic:blipFill>
                  <pic:spPr>
                    <a:xfrm>
                      <a:off x="0" y="0"/>
                      <a:ext cx="5399405" cy="3166993"/>
                    </a:xfrm>
                    <a:prstGeom prst="rect">
                      <a:avLst/>
                    </a:prstGeom>
                  </pic:spPr>
                </pic:pic>
              </a:graphicData>
            </a:graphic>
          </wp:inline>
        </w:drawing>
      </w:r>
    </w:p>
    <w:p w:rsidR="00B80285" w:rsidRDefault="00D14344">
      <w:r>
        <w:br w:type="page"/>
      </w:r>
    </w:p>
    <w:p w:rsidR="00B80285" w:rsidRDefault="00D14344">
      <w:pPr>
        <w:spacing w:before="240" w:after="60"/>
      </w:pPr>
      <w:r>
        <w:rPr>
          <w:rFonts w:ascii="Cambria" w:eastAsia="Cambria" w:hAnsi="Cambria" w:cs="Cambria"/>
          <w:b/>
          <w:color w:val="000080"/>
          <w:sz w:val="24"/>
          <w:u w:val="single"/>
        </w:rPr>
        <w:lastRenderedPageBreak/>
        <w:t>GENDER</w:t>
      </w:r>
    </w:p>
    <w:p w:rsidR="00B80285" w:rsidRDefault="00D14344">
      <w:pPr>
        <w:spacing w:before="60" w:after="240" w:line="300" w:lineRule="auto"/>
        <w:rPr>
          <w:rFonts w:ascii="Cambria" w:eastAsia="Cambria" w:hAnsi="Cambria" w:cs="Cambria"/>
        </w:rPr>
      </w:pPr>
      <w:r>
        <w:rPr>
          <w:rFonts w:ascii="Cambria" w:eastAsia="Cambria" w:hAnsi="Cambria" w:cs="Cambria"/>
        </w:rPr>
        <w:t>Excluding the first quarter of each year among males the number of cases of oral cancer diagnosed decreased by 37.5% from 144 per year in 2018 - 20</w:t>
      </w:r>
      <w:r>
        <w:rPr>
          <w:rFonts w:ascii="Cambria" w:eastAsia="Cambria" w:hAnsi="Cambria" w:cs="Cambria"/>
        </w:rPr>
        <w:t>19 to 90 in 2020. Between the same two time periods the number of cases among females decreased by 32.0% from 75 per year to 51. The change in case distribution by gender between 2018 - 2019 and 2020 was not statistically significant.</w:t>
      </w:r>
    </w:p>
    <w:p w:rsidR="00B80285" w:rsidRDefault="00D14344">
      <w:pPr>
        <w:spacing w:after="0"/>
        <w:ind w:left="283"/>
      </w:pPr>
      <w:r>
        <w:rPr>
          <w:rFonts w:ascii="Cambria" w:eastAsia="Cambria" w:hAnsi="Cambria" w:cs="Cambria"/>
          <w:b/>
          <w:i/>
          <w:color w:val="000080"/>
          <w:sz w:val="20"/>
        </w:rPr>
        <w:t>Table 2: Number and p</w:t>
      </w:r>
      <w:r>
        <w:rPr>
          <w:rFonts w:ascii="Cambria" w:eastAsia="Cambria" w:hAnsi="Cambria" w:cs="Cambria"/>
          <w:b/>
          <w:i/>
          <w:color w:val="000080"/>
          <w:sz w:val="20"/>
        </w:rPr>
        <w:t>roportion of oral cancer cases diagnosed in April-December of 2018-2020 by gender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008"/>
        <w:gridCol w:w="1995"/>
        <w:gridCol w:w="1995"/>
        <w:gridCol w:w="2113"/>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Gender</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gender</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Male</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144 (65.8%)</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90 (63.8%)</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-37.5% (54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Female</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75 (34.2%)</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51 (36.2%)</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-32.0% (24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All persons</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219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-35.6% (78 patients)</w:t>
            </w:r>
          </w:p>
        </w:tc>
      </w:tr>
      <w:tr w:rsidR="00B80285">
        <w:trPr>
          <w:jc w:val="center"/>
        </w:trPr>
        <w:tc>
          <w:tcPr>
            <w:tcW w:w="0" w:type="auto"/>
            <w:gridSpan w:val="4"/>
          </w:tcPr>
          <w:p w:rsidR="00B80285" w:rsidRDefault="00D14344">
            <w:r>
              <w:rPr>
                <w:rFonts w:ascii="Cambria" w:eastAsia="Cambria" w:hAnsi="Cambria" w:cs="Cambria"/>
                <w:i/>
                <w:sz w:val="16"/>
              </w:rPr>
              <w:t>* Average cases per year rounded to the nearest integer. Column sums may thus differ slightly from the total.</w:t>
            </w:r>
          </w:p>
        </w:tc>
      </w:tr>
    </w:tbl>
    <w:p w:rsidR="00B80285" w:rsidRDefault="00B80285"/>
    <w:p w:rsidR="00B80285" w:rsidRDefault="00D14344">
      <w:pPr>
        <w:spacing w:after="0"/>
        <w:ind w:left="283"/>
      </w:pPr>
      <w:r>
        <w:rPr>
          <w:rFonts w:ascii="Cambria" w:eastAsia="Cambria" w:hAnsi="Cambria" w:cs="Cambria"/>
          <w:b/>
          <w:i/>
          <w:color w:val="000080"/>
          <w:sz w:val="20"/>
        </w:rPr>
        <w:t>Figure 2: Oral cancer cases diagnosed in April-December of 2018-2020 by gender and period of diagnosis</w:t>
      </w:r>
    </w:p>
    <w:p w:rsidR="00B80285" w:rsidRDefault="00D14344">
      <w:pPr>
        <w:spacing w:after="0"/>
        <w:ind w:left="283"/>
      </w:pPr>
      <w:r>
        <w:rPr>
          <w:rFonts w:ascii="Cambria" w:eastAsia="Cambria" w:hAnsi="Cambria" w:cs="Cambria"/>
          <w:b/>
          <w:i/>
          <w:color w:val="000080"/>
          <w:sz w:val="20"/>
        </w:rPr>
        <w:t>(a) Number of cases diagnosed</w:t>
      </w:r>
    </w:p>
    <w:p w:rsidR="00B80285" w:rsidRDefault="00D14344">
      <w:pPr>
        <w:spacing w:after="0"/>
        <w:ind w:left="283"/>
        <w:jc w:val="center"/>
      </w:pPr>
      <w:r>
        <w:rPr>
          <w:noProof/>
          <w:lang w:val="en-GB" w:eastAsia="en-GB"/>
        </w:rPr>
        <w:drawing>
          <wp:inline distT="0" distB="0" distL="0" distR="0">
            <wp:extent cx="4319905" cy="2519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stretch>
                      <a:fillRect/>
                    </a:stretch>
                  </pic:blipFill>
                  <pic:spPr>
                    <a:xfrm>
                      <a:off x="0" y="0"/>
                      <a:ext cx="4319905" cy="2519240"/>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gender</w:t>
      </w:r>
    </w:p>
    <w:p w:rsidR="00B80285" w:rsidRDefault="00D14344">
      <w:pPr>
        <w:spacing w:after="0"/>
        <w:ind w:left="283"/>
        <w:jc w:val="center"/>
      </w:pPr>
      <w:r>
        <w:rPr>
          <w:noProof/>
          <w:lang w:val="en-GB" w:eastAsia="en-GB"/>
        </w:rPr>
        <w:drawing>
          <wp:inline distT="0" distB="0" distL="0" distR="0">
            <wp:extent cx="4319905" cy="2519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
                    <a:stretch>
                      <a:fillRect/>
                    </a:stretch>
                  </pic:blipFill>
                  <pic:spPr>
                    <a:xfrm>
                      <a:off x="0" y="0"/>
                      <a:ext cx="4319905" cy="2519240"/>
                    </a:xfrm>
                    <a:prstGeom prst="rect">
                      <a:avLst/>
                    </a:prstGeom>
                  </pic:spPr>
                </pic:pic>
              </a:graphicData>
            </a:graphic>
          </wp:inline>
        </w:drawing>
      </w:r>
    </w:p>
    <w:p w:rsidR="00B80285" w:rsidRDefault="00D14344">
      <w:r>
        <w:br w:type="page"/>
      </w:r>
    </w:p>
    <w:p w:rsidR="00B80285" w:rsidRDefault="00D14344">
      <w:pPr>
        <w:spacing w:before="240" w:after="60"/>
      </w:pPr>
      <w:r>
        <w:rPr>
          <w:rFonts w:ascii="Cambria" w:eastAsia="Cambria" w:hAnsi="Cambria" w:cs="Cambria"/>
          <w:b/>
          <w:color w:val="000080"/>
          <w:sz w:val="24"/>
          <w:u w:val="single"/>
        </w:rPr>
        <w:lastRenderedPageBreak/>
        <w:t>AGE</w:t>
      </w:r>
    </w:p>
    <w:p w:rsidR="00B80285" w:rsidRDefault="00D14344">
      <w:pPr>
        <w:spacing w:before="60" w:after="240" w:line="300" w:lineRule="auto"/>
        <w:rPr>
          <w:rFonts w:ascii="Cambria" w:eastAsia="Cambria" w:hAnsi="Cambria" w:cs="Cambria"/>
        </w:rPr>
      </w:pPr>
      <w:r>
        <w:rPr>
          <w:rFonts w:ascii="Cambria" w:eastAsia="Cambria" w:hAnsi="Cambria" w:cs="Cambria"/>
        </w:rPr>
        <w:t>Excluding the first quarter</w:t>
      </w:r>
      <w:r>
        <w:rPr>
          <w:rFonts w:ascii="Cambria" w:eastAsia="Cambria" w:hAnsi="Cambria" w:cs="Cambria"/>
        </w:rPr>
        <w:t xml:space="preserve"> of each year among people aged 0 to 54 the number of cases of oral cancer diagnosed decreased by 44.4% from 54 per year in 2018 - 2019 to 30 in 2020. Between the same two time periods, the number of cases among people aged 75 and over decreased by 18.4% f</w:t>
      </w:r>
      <w:r>
        <w:rPr>
          <w:rFonts w:ascii="Cambria" w:eastAsia="Cambria" w:hAnsi="Cambria" w:cs="Cambria"/>
        </w:rPr>
        <w:t>rom 38 per year to 31. The change in case distribution by age between 2018 - 2019 and 2020 was not statistically significant.</w:t>
      </w:r>
    </w:p>
    <w:p w:rsidR="00B80285" w:rsidRDefault="00D14344">
      <w:pPr>
        <w:spacing w:after="0"/>
        <w:ind w:left="283"/>
      </w:pPr>
      <w:r>
        <w:rPr>
          <w:rFonts w:ascii="Cambria" w:eastAsia="Cambria" w:hAnsi="Cambria" w:cs="Cambria"/>
          <w:b/>
          <w:i/>
          <w:color w:val="000080"/>
          <w:sz w:val="20"/>
        </w:rPr>
        <w:t>Table 3: Number and proportion of oral cancer cases diagnosed in April-December of 2018-2020 by age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1960"/>
        <w:gridCol w:w="2012"/>
        <w:gridCol w:w="2012"/>
        <w:gridCol w:w="2127"/>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Age group</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agegp</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0 to 54</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54 (24.7%)</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30 (21.3%)</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-44.4% (24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55 to 64</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73 (33.3%)</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42 (29.8%)</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-42.5% (31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65 to 74</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56 (25.6%)</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38 (27.0%)</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-32.1% (18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75 and over</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38 (17.4%)</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31 (22.0%)</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-18.4% (7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All ages</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219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-35.6% (78 patients)</w:t>
            </w:r>
          </w:p>
        </w:tc>
      </w:tr>
      <w:tr w:rsidR="00B80285">
        <w:trPr>
          <w:jc w:val="center"/>
        </w:trPr>
        <w:tc>
          <w:tcPr>
            <w:tcW w:w="0" w:type="auto"/>
            <w:gridSpan w:val="4"/>
          </w:tcPr>
          <w:p w:rsidR="00B80285" w:rsidRDefault="00D14344">
            <w:r>
              <w:rPr>
                <w:rFonts w:ascii="Cambria" w:eastAsia="Cambria" w:hAnsi="Cambria" w:cs="Cambria"/>
                <w:i/>
                <w:sz w:val="16"/>
              </w:rPr>
              <w:t>* Average cases per year rounded to the nearest integer. Column sums may thus differ slightly from the total.</w:t>
            </w:r>
          </w:p>
        </w:tc>
      </w:tr>
    </w:tbl>
    <w:p w:rsidR="00B80285" w:rsidRDefault="00B80285"/>
    <w:p w:rsidR="00B80285" w:rsidRDefault="00D14344">
      <w:pPr>
        <w:spacing w:after="0"/>
        <w:ind w:left="283"/>
      </w:pPr>
      <w:r>
        <w:rPr>
          <w:rFonts w:ascii="Cambria" w:eastAsia="Cambria" w:hAnsi="Cambria" w:cs="Cambria"/>
          <w:b/>
          <w:i/>
          <w:color w:val="000080"/>
          <w:sz w:val="20"/>
        </w:rPr>
        <w:t>Figure 3: Oral cancer cases diagnosed in April-December of 2018-2020 by age and period of diagnosis</w:t>
      </w:r>
    </w:p>
    <w:p w:rsidR="00B80285" w:rsidRDefault="00D14344">
      <w:pPr>
        <w:spacing w:after="0"/>
        <w:ind w:left="283"/>
      </w:pPr>
      <w:r>
        <w:rPr>
          <w:rFonts w:ascii="Cambria" w:eastAsia="Cambria" w:hAnsi="Cambria" w:cs="Cambria"/>
          <w:b/>
          <w:i/>
          <w:color w:val="000080"/>
          <w:sz w:val="20"/>
        </w:rPr>
        <w:t>(a) Number of cases diagnosed</w:t>
      </w:r>
    </w:p>
    <w:p w:rsidR="00B80285" w:rsidRDefault="00D14344">
      <w:pPr>
        <w:spacing w:after="0"/>
        <w:ind w:left="283"/>
        <w:jc w:val="center"/>
      </w:pPr>
      <w:r>
        <w:rPr>
          <w:noProof/>
          <w:lang w:val="en-GB" w:eastAsia="en-GB"/>
        </w:rPr>
        <w:drawing>
          <wp:inline distT="0" distB="0" distL="0" distR="0">
            <wp:extent cx="4319905" cy="2519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3"/>
                    <a:stretch>
                      <a:fillRect/>
                    </a:stretch>
                  </pic:blipFill>
                  <pic:spPr>
                    <a:xfrm>
                      <a:off x="0" y="0"/>
                      <a:ext cx="4319905" cy="2519240"/>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age at diagnosis</w:t>
      </w:r>
    </w:p>
    <w:p w:rsidR="00B80285" w:rsidRDefault="00D14344">
      <w:pPr>
        <w:spacing w:after="0"/>
        <w:ind w:left="283"/>
        <w:jc w:val="center"/>
      </w:pPr>
      <w:r>
        <w:rPr>
          <w:noProof/>
          <w:lang w:val="en-GB" w:eastAsia="en-GB"/>
        </w:rPr>
        <w:drawing>
          <wp:inline distT="0" distB="0" distL="0" distR="0">
            <wp:extent cx="4319905" cy="2519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4"/>
                    <a:stretch>
                      <a:fillRect/>
                    </a:stretch>
                  </pic:blipFill>
                  <pic:spPr>
                    <a:xfrm>
                      <a:off x="0" y="0"/>
                      <a:ext cx="4319905" cy="2519240"/>
                    </a:xfrm>
                    <a:prstGeom prst="rect">
                      <a:avLst/>
                    </a:prstGeom>
                  </pic:spPr>
                </pic:pic>
              </a:graphicData>
            </a:graphic>
          </wp:inline>
        </w:drawing>
      </w:r>
    </w:p>
    <w:p w:rsidR="00B80285" w:rsidRDefault="00D14344">
      <w:r>
        <w:br w:type="page"/>
      </w:r>
    </w:p>
    <w:p w:rsidR="00B80285" w:rsidRDefault="00D14344">
      <w:pPr>
        <w:spacing w:before="300" w:after="60"/>
      </w:pPr>
      <w:r>
        <w:rPr>
          <w:rFonts w:ascii="Cambria" w:eastAsia="Cambria" w:hAnsi="Cambria" w:cs="Cambria"/>
          <w:b/>
          <w:color w:val="000080"/>
          <w:sz w:val="24"/>
          <w:u w:val="single"/>
        </w:rPr>
        <w:lastRenderedPageBreak/>
        <w:t>HEALTH AND SOCIAL CARE TRUST</w:t>
      </w:r>
    </w:p>
    <w:p w:rsidR="00B80285" w:rsidRDefault="00D14344">
      <w:pPr>
        <w:spacing w:before="60" w:after="240" w:line="300" w:lineRule="auto"/>
        <w:rPr>
          <w:rFonts w:ascii="Cambria" w:eastAsia="Cambria" w:hAnsi="Cambria" w:cs="Cambria"/>
        </w:rPr>
      </w:pPr>
      <w:r>
        <w:rPr>
          <w:rFonts w:ascii="Cambria" w:eastAsia="Cambria" w:hAnsi="Cambria" w:cs="Cambria"/>
        </w:rPr>
        <w:t xml:space="preserve">Excluding the first quarter of each year among residents of Western HSCT the number of cases of oral cancer diagnosed decreased by 44.1% from 34 per year in 2018 - 2019 to 19 in 2020. </w:t>
      </w:r>
      <w:r>
        <w:rPr>
          <w:rFonts w:ascii="Cambria" w:eastAsia="Cambria" w:hAnsi="Cambria" w:cs="Cambria"/>
        </w:rPr>
        <w:t>Between the same two time periods the number of cases among residents of Southern HSCT decreased by 20.0% from 35 per year to 28. The change in case distribution by HSCT between 2018 - 2019 and 2020 was not statistically significant.</w:t>
      </w:r>
    </w:p>
    <w:p w:rsidR="00B80285" w:rsidRDefault="00D14344">
      <w:pPr>
        <w:spacing w:after="0"/>
        <w:ind w:left="283"/>
      </w:pPr>
      <w:r>
        <w:rPr>
          <w:rFonts w:ascii="Cambria" w:eastAsia="Cambria" w:hAnsi="Cambria" w:cs="Cambria"/>
          <w:b/>
          <w:i/>
          <w:color w:val="000080"/>
          <w:sz w:val="20"/>
        </w:rPr>
        <w:t>Table 4: Number and pr</w:t>
      </w:r>
      <w:r>
        <w:rPr>
          <w:rFonts w:ascii="Cambria" w:eastAsia="Cambria" w:hAnsi="Cambria" w:cs="Cambria"/>
          <w:b/>
          <w:i/>
          <w:color w:val="000080"/>
          <w:sz w:val="20"/>
        </w:rPr>
        <w:t>oportion of oral cancer cases diagnosed in April-December of 2018-2020 by Health and Social Care Trust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039"/>
        <w:gridCol w:w="1984"/>
        <w:gridCol w:w="1984"/>
        <w:gridCol w:w="2104"/>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Health and Social Care Trust</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hsct</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Belfast HSCT</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55 (25.1%)</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31 (22.0%)</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-43.6% (24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Northern HSCT</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49 (22.4%)</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35 (24.8%)</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-28.6% (14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South Eastern HSCT</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47 (21.5%)</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28 (19.9%)</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-40.4% (19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Southern HSCT</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 (16.0%)</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28 (19.9%)</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-20.0% (7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Western HSCT</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34 (15.5%)</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19 (13.5%)</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-44.1% (15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Northern Ireland</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219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-35.6% (78 patients)</w:t>
            </w:r>
          </w:p>
        </w:tc>
      </w:tr>
      <w:tr w:rsidR="00B80285">
        <w:trPr>
          <w:jc w:val="center"/>
        </w:trPr>
        <w:tc>
          <w:tcPr>
            <w:tcW w:w="0" w:type="auto"/>
            <w:gridSpan w:val="4"/>
          </w:tcPr>
          <w:p w:rsidR="00B80285" w:rsidRDefault="00D14344">
            <w:r>
              <w:rPr>
                <w:rFonts w:ascii="Cambria" w:eastAsia="Cambria" w:hAnsi="Cambria" w:cs="Cambria"/>
                <w:i/>
                <w:sz w:val="16"/>
              </w:rPr>
              <w:t>* Average cases per year rounded to the nearest integer. Column sums may thus differ slightly from the total.</w:t>
            </w:r>
          </w:p>
        </w:tc>
      </w:tr>
      <w:tr w:rsidR="00B80285">
        <w:trPr>
          <w:jc w:val="center"/>
        </w:trPr>
        <w:tc>
          <w:tcPr>
            <w:tcW w:w="0" w:type="auto"/>
            <w:gridSpan w:val="4"/>
          </w:tcPr>
          <w:p w:rsidR="00B80285" w:rsidRDefault="00D14344">
            <w:r>
              <w:rPr>
                <w:rFonts w:ascii="Cambria" w:eastAsia="Cambria" w:hAnsi="Cambria" w:cs="Cambria"/>
                <w:i/>
                <w:sz w:val="16"/>
              </w:rPr>
              <w:t>Note: Cases with unknown Health and Social Care Trust are included in totals</w:t>
            </w:r>
          </w:p>
        </w:tc>
      </w:tr>
    </w:tbl>
    <w:p w:rsidR="00B80285" w:rsidRDefault="00B80285"/>
    <w:p w:rsidR="00B80285" w:rsidRDefault="00D14344">
      <w:pPr>
        <w:spacing w:after="0"/>
        <w:ind w:left="283"/>
      </w:pPr>
      <w:r>
        <w:rPr>
          <w:rFonts w:ascii="Cambria" w:eastAsia="Cambria" w:hAnsi="Cambria" w:cs="Cambria"/>
          <w:b/>
          <w:i/>
          <w:color w:val="000080"/>
          <w:sz w:val="20"/>
        </w:rPr>
        <w:t>Figure 4: Oral cancer cases diagnosed in April-December of 2018-2020 by Health and Social Care Trust and period of diagnosis</w:t>
      </w:r>
    </w:p>
    <w:p w:rsidR="00B80285" w:rsidRDefault="00D14344">
      <w:pPr>
        <w:spacing w:after="0"/>
        <w:ind w:left="283"/>
      </w:pPr>
      <w:r>
        <w:rPr>
          <w:rFonts w:ascii="Cambria" w:eastAsia="Cambria" w:hAnsi="Cambria" w:cs="Cambria"/>
          <w:b/>
          <w:i/>
          <w:color w:val="000080"/>
          <w:sz w:val="20"/>
        </w:rPr>
        <w:t>(a) Number of cases diagnosed</w:t>
      </w:r>
    </w:p>
    <w:p w:rsidR="00B80285" w:rsidRDefault="00D14344">
      <w:pPr>
        <w:spacing w:after="0"/>
        <w:ind w:left="283"/>
        <w:jc w:val="center"/>
      </w:pPr>
      <w:r>
        <w:rPr>
          <w:noProof/>
          <w:lang w:val="en-GB" w:eastAsia="en-GB"/>
        </w:rPr>
        <w:drawing>
          <wp:inline distT="0" distB="0" distL="0" distR="0">
            <wp:extent cx="4319905" cy="23752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5"/>
                    <a:stretch>
                      <a:fillRect/>
                    </a:stretch>
                  </pic:blipFill>
                  <pic:spPr>
                    <a:xfrm>
                      <a:off x="0" y="0"/>
                      <a:ext cx="4319905" cy="2375253"/>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Health and Social</w:t>
      </w:r>
      <w:r>
        <w:rPr>
          <w:rFonts w:ascii="Cambria" w:eastAsia="Cambria" w:hAnsi="Cambria" w:cs="Cambria"/>
          <w:b/>
          <w:i/>
          <w:color w:val="000080"/>
          <w:sz w:val="20"/>
        </w:rPr>
        <w:t xml:space="preserve"> Care Trust</w:t>
      </w:r>
    </w:p>
    <w:p w:rsidR="00B80285" w:rsidRDefault="00D14344">
      <w:pPr>
        <w:spacing w:after="0"/>
        <w:ind w:left="283"/>
        <w:jc w:val="center"/>
      </w:pPr>
      <w:r>
        <w:rPr>
          <w:noProof/>
          <w:lang w:val="en-GB" w:eastAsia="en-GB"/>
        </w:rPr>
        <w:drawing>
          <wp:inline distT="0" distB="0" distL="0" distR="0">
            <wp:extent cx="4319905" cy="23752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6"/>
                    <a:stretch>
                      <a:fillRect/>
                    </a:stretch>
                  </pic:blipFill>
                  <pic:spPr>
                    <a:xfrm>
                      <a:off x="0" y="0"/>
                      <a:ext cx="4319905" cy="2375253"/>
                    </a:xfrm>
                    <a:prstGeom prst="rect">
                      <a:avLst/>
                    </a:prstGeom>
                  </pic:spPr>
                </pic:pic>
              </a:graphicData>
            </a:graphic>
          </wp:inline>
        </w:drawing>
      </w:r>
    </w:p>
    <w:p w:rsidR="00B80285" w:rsidRDefault="00D14344">
      <w:r>
        <w:br w:type="page"/>
      </w:r>
    </w:p>
    <w:p w:rsidR="00B80285" w:rsidRDefault="00D14344">
      <w:pPr>
        <w:spacing w:before="300" w:after="60"/>
      </w:pPr>
      <w:r>
        <w:rPr>
          <w:rFonts w:ascii="Cambria" w:eastAsia="Cambria" w:hAnsi="Cambria" w:cs="Cambria"/>
          <w:b/>
          <w:color w:val="000080"/>
          <w:sz w:val="24"/>
          <w:u w:val="single"/>
        </w:rPr>
        <w:lastRenderedPageBreak/>
        <w:t>DEPRIVATION</w:t>
      </w:r>
    </w:p>
    <w:p w:rsidR="00B80285" w:rsidRDefault="00D14344">
      <w:pPr>
        <w:spacing w:before="60" w:after="240" w:line="300" w:lineRule="auto"/>
        <w:rPr>
          <w:rFonts w:ascii="Cambria" w:eastAsia="Cambria" w:hAnsi="Cambria" w:cs="Cambria"/>
        </w:rPr>
      </w:pPr>
      <w:r>
        <w:rPr>
          <w:rFonts w:ascii="Cambria" w:eastAsia="Cambria" w:hAnsi="Cambria" w:cs="Cambria"/>
        </w:rPr>
        <w:t>Excluding the first quarter of each year among residents of the most deprived areas the number of cases of oral cancer diagnosed decreased by 36.8% from 57 per year in 2018 - 2019 to 36 in 2020. Between the same two time periods</w:t>
      </w:r>
      <w:r>
        <w:rPr>
          <w:rFonts w:ascii="Cambria" w:eastAsia="Cambria" w:hAnsi="Cambria" w:cs="Cambria"/>
        </w:rPr>
        <w:t xml:space="preserve"> the number of cases among residents of the least deprived areas decreased by 44.2% from 43 per year to 24. The change in case distribution by deprivation quintile between 2018 - 2019 and 2020 was not statistically significant.</w:t>
      </w:r>
    </w:p>
    <w:p w:rsidR="00B80285" w:rsidRDefault="00D14344">
      <w:pPr>
        <w:spacing w:after="0"/>
        <w:ind w:left="283"/>
      </w:pPr>
      <w:r>
        <w:rPr>
          <w:rFonts w:ascii="Cambria" w:eastAsia="Cambria" w:hAnsi="Cambria" w:cs="Cambria"/>
          <w:b/>
          <w:i/>
          <w:color w:val="000080"/>
          <w:sz w:val="20"/>
        </w:rPr>
        <w:t>Table 5: Number and proporti</w:t>
      </w:r>
      <w:r>
        <w:rPr>
          <w:rFonts w:ascii="Cambria" w:eastAsia="Cambria" w:hAnsi="Cambria" w:cs="Cambria"/>
          <w:b/>
          <w:i/>
          <w:color w:val="000080"/>
          <w:sz w:val="20"/>
        </w:rPr>
        <w:t>on of oral cancer cases diagnosed in April-December of 2018-2020 by deprivation quintile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110"/>
        <w:gridCol w:w="1959"/>
        <w:gridCol w:w="1959"/>
        <w:gridCol w:w="2083"/>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Deprivation quintile</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dep17</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Most deprived</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57 (26.0%)</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36 (25.5%)</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-36.8% (21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Quintile 2</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37 (16.9%)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32 (22.7%)</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-13.5% (5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Quintile 3</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43 (19.6%)</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22 (15.6%)</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-48.8% (21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Quintile 4</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40 (18.3%)</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27 (19.1%)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-32.5% (13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Least deprived</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43 (19.6%)</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24 (17.0%)</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-44.2% (19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Northern Ireland</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219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-35.6% (78 patients)</w:t>
            </w:r>
          </w:p>
        </w:tc>
      </w:tr>
      <w:tr w:rsidR="00B80285">
        <w:trPr>
          <w:jc w:val="center"/>
        </w:trPr>
        <w:tc>
          <w:tcPr>
            <w:tcW w:w="0" w:type="auto"/>
            <w:gridSpan w:val="4"/>
          </w:tcPr>
          <w:p w:rsidR="00B80285" w:rsidRDefault="00D14344">
            <w:r>
              <w:rPr>
                <w:rFonts w:ascii="Cambria" w:eastAsia="Cambria" w:hAnsi="Cambria" w:cs="Cambria"/>
                <w:i/>
                <w:sz w:val="16"/>
              </w:rPr>
              <w:t>* Average cases per year rounded to the nearest integer. Column sums may thus differ slightly from the total.</w:t>
            </w:r>
          </w:p>
        </w:tc>
      </w:tr>
      <w:tr w:rsidR="00B80285">
        <w:trPr>
          <w:jc w:val="center"/>
        </w:trPr>
        <w:tc>
          <w:tcPr>
            <w:tcW w:w="0" w:type="auto"/>
            <w:gridSpan w:val="4"/>
          </w:tcPr>
          <w:p w:rsidR="00B80285" w:rsidRDefault="00D14344">
            <w:r>
              <w:rPr>
                <w:rFonts w:ascii="Cambria" w:eastAsia="Cambria" w:hAnsi="Cambria" w:cs="Cambria"/>
                <w:i/>
                <w:sz w:val="16"/>
              </w:rPr>
              <w:t>Note: Cases with unknown deprivation quintile are included in totals</w:t>
            </w:r>
          </w:p>
        </w:tc>
      </w:tr>
    </w:tbl>
    <w:p w:rsidR="00B80285" w:rsidRDefault="00B80285"/>
    <w:p w:rsidR="00B80285" w:rsidRDefault="00D14344">
      <w:pPr>
        <w:spacing w:after="0"/>
        <w:ind w:left="283"/>
      </w:pPr>
      <w:r>
        <w:rPr>
          <w:rFonts w:ascii="Cambria" w:eastAsia="Cambria" w:hAnsi="Cambria" w:cs="Cambria"/>
          <w:b/>
          <w:i/>
          <w:color w:val="000080"/>
          <w:sz w:val="20"/>
        </w:rPr>
        <w:t>Figure 5: Oral cancer cases diagnosed in April-December of 2018-2020 by deprivation quintile and period of diagnosis</w:t>
      </w:r>
    </w:p>
    <w:p w:rsidR="00B80285" w:rsidRDefault="00D14344">
      <w:pPr>
        <w:spacing w:after="0"/>
        <w:ind w:left="283"/>
      </w:pPr>
      <w:r>
        <w:rPr>
          <w:rFonts w:ascii="Cambria" w:eastAsia="Cambria" w:hAnsi="Cambria" w:cs="Cambria"/>
          <w:b/>
          <w:i/>
          <w:color w:val="000080"/>
          <w:sz w:val="20"/>
        </w:rPr>
        <w:t>(a) Number of cases diagnosed</w:t>
      </w:r>
    </w:p>
    <w:p w:rsidR="00B80285" w:rsidRDefault="00D14344">
      <w:pPr>
        <w:spacing w:after="0"/>
        <w:ind w:left="283"/>
        <w:jc w:val="center"/>
      </w:pPr>
      <w:r>
        <w:rPr>
          <w:noProof/>
          <w:lang w:val="en-GB" w:eastAsia="en-GB"/>
        </w:rPr>
        <w:drawing>
          <wp:inline distT="0" distB="0" distL="0" distR="0">
            <wp:extent cx="4319905" cy="23752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7"/>
                    <a:stretch>
                      <a:fillRect/>
                    </a:stretch>
                  </pic:blipFill>
                  <pic:spPr>
                    <a:xfrm>
                      <a:off x="0" y="0"/>
                      <a:ext cx="4319905" cy="2375253"/>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deprivation quintile</w:t>
      </w:r>
    </w:p>
    <w:p w:rsidR="00B80285" w:rsidRDefault="00D14344">
      <w:pPr>
        <w:spacing w:after="0"/>
        <w:ind w:left="283"/>
        <w:jc w:val="center"/>
      </w:pPr>
      <w:r>
        <w:rPr>
          <w:noProof/>
          <w:lang w:val="en-GB" w:eastAsia="en-GB"/>
        </w:rPr>
        <w:drawing>
          <wp:inline distT="0" distB="0" distL="0" distR="0">
            <wp:extent cx="4319905" cy="23752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8"/>
                    <a:stretch>
                      <a:fillRect/>
                    </a:stretch>
                  </pic:blipFill>
                  <pic:spPr>
                    <a:xfrm>
                      <a:off x="0" y="0"/>
                      <a:ext cx="4319905" cy="2375253"/>
                    </a:xfrm>
                    <a:prstGeom prst="rect">
                      <a:avLst/>
                    </a:prstGeom>
                  </pic:spPr>
                </pic:pic>
              </a:graphicData>
            </a:graphic>
          </wp:inline>
        </w:drawing>
      </w:r>
    </w:p>
    <w:p w:rsidR="00B80285" w:rsidRDefault="00D14344">
      <w:r>
        <w:br w:type="page"/>
      </w:r>
    </w:p>
    <w:p w:rsidR="00B80285" w:rsidRDefault="00D14344">
      <w:pPr>
        <w:spacing w:before="300" w:after="60"/>
      </w:pPr>
      <w:r>
        <w:rPr>
          <w:rFonts w:ascii="Cambria" w:eastAsia="Cambria" w:hAnsi="Cambria" w:cs="Cambria"/>
          <w:b/>
          <w:color w:val="000080"/>
          <w:sz w:val="24"/>
          <w:u w:val="single"/>
        </w:rPr>
        <w:lastRenderedPageBreak/>
        <w:t>STA</w:t>
      </w:r>
      <w:r>
        <w:rPr>
          <w:rFonts w:ascii="Cambria" w:eastAsia="Cambria" w:hAnsi="Cambria" w:cs="Cambria"/>
          <w:b/>
          <w:color w:val="000080"/>
          <w:sz w:val="24"/>
          <w:u w:val="single"/>
        </w:rPr>
        <w:t>GE</w:t>
      </w:r>
    </w:p>
    <w:p w:rsidR="00B80285" w:rsidRDefault="00D14344">
      <w:pPr>
        <w:spacing w:before="60" w:after="240" w:line="300" w:lineRule="auto"/>
        <w:rPr>
          <w:rFonts w:ascii="Cambria" w:eastAsia="Cambria" w:hAnsi="Cambria" w:cs="Cambria"/>
        </w:rPr>
      </w:pPr>
      <w:r>
        <w:rPr>
          <w:rFonts w:ascii="Cambria" w:eastAsia="Cambria" w:hAnsi="Cambria" w:cs="Cambria"/>
        </w:rPr>
        <w:t>Excluding the first quarter of each year the number of oral cancer cases diagnosed at Stage I decreased by 36.0% from 50 per year in 2018 - 2019 to 32 in 2020. Between the same two time periods the number of cases diagnosed at Stage IV decreased by 43.9</w:t>
      </w:r>
      <w:r>
        <w:rPr>
          <w:rFonts w:ascii="Cambria" w:eastAsia="Cambria" w:hAnsi="Cambria" w:cs="Cambria"/>
        </w:rPr>
        <w:t>% from 98 per year to 55. The change in case distribution by stage at diagnosis between 2018 - 2019 and 2020 was not statistically significant.</w:t>
      </w:r>
    </w:p>
    <w:p w:rsidR="00B80285" w:rsidRDefault="00D14344">
      <w:pPr>
        <w:spacing w:after="0"/>
        <w:ind w:left="283"/>
      </w:pPr>
      <w:r>
        <w:rPr>
          <w:rFonts w:ascii="Cambria" w:eastAsia="Cambria" w:hAnsi="Cambria" w:cs="Cambria"/>
          <w:b/>
          <w:i/>
          <w:color w:val="000080"/>
          <w:sz w:val="20"/>
        </w:rPr>
        <w:t>Table 6: Number and proportion of oral cancer cases diagnosed in April-December of 2018-2020 by stage at diagnos</w:t>
      </w:r>
      <w:r>
        <w:rPr>
          <w:rFonts w:ascii="Cambria" w:eastAsia="Cambria" w:hAnsi="Cambria" w:cs="Cambria"/>
          <w:b/>
          <w:i/>
          <w:color w:val="000080"/>
          <w:sz w:val="20"/>
        </w:rPr>
        <w:t>is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048"/>
        <w:gridCol w:w="1981"/>
        <w:gridCol w:w="1981"/>
        <w:gridCol w:w="2101"/>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Stage at diagnosis</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stggp</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Stage I</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50 (22.8%)</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32 (22.7%)</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-36.0% (18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Stage II</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25 (11.4%)</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21 (14.9%)</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-16.0% (4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Stage III</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32 (14.6%)</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28 (19.9%)</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-12.5% (4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Stage IV</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98 (44.7%)</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55 (39.0%)</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-43.9% (43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Unknown</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15 (6.8%)</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5 (3.5%)</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-66.7% (10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All stages</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219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-35.6% (78 patients)</w:t>
            </w:r>
          </w:p>
        </w:tc>
      </w:tr>
      <w:tr w:rsidR="00B80285">
        <w:trPr>
          <w:jc w:val="center"/>
        </w:trPr>
        <w:tc>
          <w:tcPr>
            <w:tcW w:w="0" w:type="auto"/>
            <w:gridSpan w:val="4"/>
          </w:tcPr>
          <w:p w:rsidR="00B80285" w:rsidRDefault="00D14344">
            <w:r>
              <w:rPr>
                <w:rFonts w:ascii="Cambria" w:eastAsia="Cambria" w:hAnsi="Cambria" w:cs="Cambria"/>
                <w:i/>
                <w:sz w:val="16"/>
              </w:rPr>
              <w:t>* Average cases per year rounded to the nearest integer. Column sums may thus differ slightly from the total.</w:t>
            </w:r>
          </w:p>
        </w:tc>
      </w:tr>
    </w:tbl>
    <w:p w:rsidR="00B80285" w:rsidRDefault="00B80285"/>
    <w:p w:rsidR="00B80285" w:rsidRDefault="00D14344">
      <w:pPr>
        <w:spacing w:after="0"/>
        <w:ind w:left="283"/>
      </w:pPr>
      <w:r>
        <w:rPr>
          <w:rFonts w:ascii="Cambria" w:eastAsia="Cambria" w:hAnsi="Cambria" w:cs="Cambria"/>
          <w:b/>
          <w:i/>
          <w:color w:val="000080"/>
          <w:sz w:val="20"/>
        </w:rPr>
        <w:t>Figure 6: Oral cancer cases diagnosed in April-December of 2018-2020 by stage and period of diagnosis</w:t>
      </w:r>
    </w:p>
    <w:p w:rsidR="00B80285" w:rsidRDefault="00D14344">
      <w:pPr>
        <w:spacing w:after="0"/>
        <w:ind w:left="283"/>
      </w:pPr>
      <w:r>
        <w:rPr>
          <w:rFonts w:ascii="Cambria" w:eastAsia="Cambria" w:hAnsi="Cambria" w:cs="Cambria"/>
          <w:b/>
          <w:i/>
          <w:color w:val="000080"/>
          <w:sz w:val="20"/>
        </w:rPr>
        <w:t>(a) Proportion of cases diagnosed</w:t>
      </w:r>
    </w:p>
    <w:p w:rsidR="00B80285" w:rsidRDefault="00D14344">
      <w:pPr>
        <w:spacing w:after="0"/>
        <w:ind w:left="283"/>
        <w:jc w:val="center"/>
      </w:pPr>
      <w:r>
        <w:rPr>
          <w:noProof/>
          <w:lang w:val="en-GB" w:eastAsia="en-GB"/>
        </w:rPr>
        <w:drawing>
          <wp:inline distT="0" distB="0" distL="0" distR="0">
            <wp:extent cx="4319905" cy="2519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9"/>
                    <a:stretch>
                      <a:fillRect/>
                    </a:stretch>
                  </pic:blipFill>
                  <pic:spPr>
                    <a:xfrm>
                      <a:off x="0" y="0"/>
                      <a:ext cx="4319905" cy="2519240"/>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stage at diagnosis</w:t>
      </w:r>
    </w:p>
    <w:p w:rsidR="00B80285" w:rsidRDefault="00D14344">
      <w:pPr>
        <w:spacing w:after="0"/>
        <w:ind w:left="283"/>
        <w:jc w:val="center"/>
      </w:pPr>
      <w:r>
        <w:rPr>
          <w:noProof/>
          <w:lang w:val="en-GB" w:eastAsia="en-GB"/>
        </w:rPr>
        <w:drawing>
          <wp:inline distT="0" distB="0" distL="0" distR="0">
            <wp:extent cx="4319905" cy="2519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0"/>
                    <a:stretch>
                      <a:fillRect/>
                    </a:stretch>
                  </pic:blipFill>
                  <pic:spPr>
                    <a:xfrm>
                      <a:off x="0" y="0"/>
                      <a:ext cx="4319905" cy="2519240"/>
                    </a:xfrm>
                    <a:prstGeom prst="rect">
                      <a:avLst/>
                    </a:prstGeom>
                  </pic:spPr>
                </pic:pic>
              </a:graphicData>
            </a:graphic>
          </wp:inline>
        </w:drawing>
      </w:r>
    </w:p>
    <w:p w:rsidR="00B80285" w:rsidRDefault="00D14344">
      <w:r>
        <w:br w:type="page"/>
      </w:r>
    </w:p>
    <w:p w:rsidR="00B80285" w:rsidRDefault="00D14344">
      <w:pPr>
        <w:spacing w:before="300" w:after="60"/>
      </w:pPr>
      <w:r>
        <w:rPr>
          <w:rFonts w:ascii="Cambria" w:eastAsia="Cambria" w:hAnsi="Cambria" w:cs="Cambria"/>
          <w:b/>
          <w:color w:val="000080"/>
          <w:sz w:val="24"/>
          <w:u w:val="single"/>
        </w:rPr>
        <w:lastRenderedPageBreak/>
        <w:t>METHOD OF HOSPITAL ADMISSION</w:t>
      </w:r>
    </w:p>
    <w:p w:rsidR="00B80285" w:rsidRDefault="00D14344">
      <w:pPr>
        <w:spacing w:before="60" w:after="240" w:line="300" w:lineRule="auto"/>
        <w:rPr>
          <w:rFonts w:ascii="Cambria" w:eastAsia="Cambria" w:hAnsi="Cambria" w:cs="Cambria"/>
        </w:rPr>
      </w:pPr>
      <w:r>
        <w:rPr>
          <w:rFonts w:ascii="Cambria" w:eastAsia="Cambria" w:hAnsi="Cambria" w:cs="Cambria"/>
        </w:rPr>
        <w:t>Excluding the first quarter of each year there was no change between 2018 - 2019 and 2020 in the number of cases where the patient had an emergency admission recorded as the most recent hospital admission type up to 30 days prior to diagnosis, with an aver</w:t>
      </w:r>
      <w:r>
        <w:rPr>
          <w:rFonts w:ascii="Cambria" w:eastAsia="Cambria" w:hAnsi="Cambria" w:cs="Cambria"/>
        </w:rPr>
        <w:t xml:space="preserve">age of 8 cases each year. The change in case distribution by hospital admission type between 2018 - 2019 and 2020 was statistically significant (p = 0.022). </w:t>
      </w:r>
    </w:p>
    <w:p w:rsidR="00B80285" w:rsidRDefault="00D14344">
      <w:pPr>
        <w:spacing w:after="0"/>
        <w:ind w:left="283"/>
      </w:pPr>
      <w:r>
        <w:rPr>
          <w:rFonts w:ascii="Cambria" w:eastAsia="Cambria" w:hAnsi="Cambria" w:cs="Cambria"/>
          <w:b/>
          <w:i/>
          <w:color w:val="000080"/>
          <w:sz w:val="20"/>
        </w:rPr>
        <w:t>Table 7: Number and proportion of oral cancer cases diagnosed in April-December of 2018-2020 by me</w:t>
      </w:r>
      <w:r>
        <w:rPr>
          <w:rFonts w:ascii="Cambria" w:eastAsia="Cambria" w:hAnsi="Cambria" w:cs="Cambria"/>
          <w:b/>
          <w:i/>
          <w:color w:val="000080"/>
          <w:sz w:val="20"/>
        </w:rPr>
        <w:t>thod of admission to hospital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348"/>
        <w:gridCol w:w="1875"/>
        <w:gridCol w:w="1875"/>
        <w:gridCol w:w="2013"/>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Method of admission to hospital</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methadmin</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Emergency admission</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8 (3.7%)</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8 (5.7%)</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0.0% (0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Elective admission</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87 (39.7%)</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38 (27.0%)</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-56.3% (49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No emergency/elective admission recorded</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125 (57.1%)</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95 (67.4%)</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-24.0% (30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All persons</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219</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141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-35.6% (78 patients)</w:t>
            </w:r>
          </w:p>
        </w:tc>
      </w:tr>
      <w:tr w:rsidR="00B80285">
        <w:trPr>
          <w:jc w:val="center"/>
        </w:trPr>
        <w:tc>
          <w:tcPr>
            <w:tcW w:w="0" w:type="auto"/>
            <w:gridSpan w:val="4"/>
          </w:tcPr>
          <w:p w:rsidR="00B80285" w:rsidRDefault="00D14344">
            <w:r>
              <w:rPr>
                <w:rFonts w:ascii="Cambria" w:eastAsia="Cambria" w:hAnsi="Cambria" w:cs="Cambria"/>
                <w:i/>
                <w:sz w:val="16"/>
              </w:rPr>
              <w:t>* Average cases per year rounded to the nearest integer. Column sums may thus differ slightly from the total.</w:t>
            </w:r>
          </w:p>
        </w:tc>
      </w:tr>
    </w:tbl>
    <w:p w:rsidR="00B80285" w:rsidRDefault="00B80285"/>
    <w:p w:rsidR="00B80285" w:rsidRDefault="00D14344">
      <w:pPr>
        <w:spacing w:after="0"/>
        <w:ind w:left="283"/>
      </w:pPr>
      <w:r>
        <w:rPr>
          <w:rFonts w:ascii="Cambria" w:eastAsia="Cambria" w:hAnsi="Cambria" w:cs="Cambria"/>
          <w:b/>
          <w:i/>
          <w:color w:val="000080"/>
          <w:sz w:val="20"/>
        </w:rPr>
        <w:t>Figure 7: Oral cancer cases diagnosed in April-December of 2018-2020 by method of admission to hospital and period of diagnosis</w:t>
      </w:r>
    </w:p>
    <w:p w:rsidR="00B80285" w:rsidRDefault="00D14344">
      <w:pPr>
        <w:spacing w:after="0"/>
        <w:ind w:left="283"/>
      </w:pPr>
      <w:r>
        <w:rPr>
          <w:rFonts w:ascii="Cambria" w:eastAsia="Cambria" w:hAnsi="Cambria" w:cs="Cambria"/>
          <w:b/>
          <w:i/>
          <w:color w:val="000080"/>
          <w:sz w:val="20"/>
        </w:rPr>
        <w:t>(a) Proportion of cases diagnosed</w:t>
      </w:r>
    </w:p>
    <w:p w:rsidR="00B80285" w:rsidRDefault="00D14344">
      <w:pPr>
        <w:spacing w:after="0"/>
        <w:ind w:left="283"/>
        <w:jc w:val="center"/>
      </w:pPr>
      <w:r>
        <w:rPr>
          <w:noProof/>
          <w:lang w:val="en-GB" w:eastAsia="en-GB"/>
        </w:rPr>
        <w:drawing>
          <wp:inline distT="0" distB="0" distL="0" distR="0">
            <wp:extent cx="4319905" cy="25192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1"/>
                    <a:stretch>
                      <a:fillRect/>
                    </a:stretch>
                  </pic:blipFill>
                  <pic:spPr>
                    <a:xfrm>
                      <a:off x="0" y="0"/>
                      <a:ext cx="4319905" cy="2519240"/>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cases by method of admission to hospital</w:t>
      </w:r>
    </w:p>
    <w:p w:rsidR="00B80285" w:rsidRDefault="00D14344">
      <w:pPr>
        <w:spacing w:after="0"/>
        <w:ind w:left="283"/>
        <w:jc w:val="center"/>
      </w:pPr>
      <w:r>
        <w:rPr>
          <w:noProof/>
          <w:lang w:val="en-GB" w:eastAsia="en-GB"/>
        </w:rPr>
        <w:drawing>
          <wp:inline distT="0" distB="0" distL="0" distR="0">
            <wp:extent cx="4319905" cy="2519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2"/>
                    <a:stretch>
                      <a:fillRect/>
                    </a:stretch>
                  </pic:blipFill>
                  <pic:spPr>
                    <a:xfrm>
                      <a:off x="0" y="0"/>
                      <a:ext cx="4319905" cy="2519240"/>
                    </a:xfrm>
                    <a:prstGeom prst="rect">
                      <a:avLst/>
                    </a:prstGeom>
                  </pic:spPr>
                </pic:pic>
              </a:graphicData>
            </a:graphic>
          </wp:inline>
        </w:drawing>
      </w:r>
    </w:p>
    <w:p w:rsidR="00B80285" w:rsidRDefault="00D14344">
      <w:r>
        <w:br w:type="page"/>
      </w:r>
    </w:p>
    <w:p w:rsidR="00B80285" w:rsidRDefault="00D14344">
      <w:pPr>
        <w:shd w:val="solid" w:color="000080" w:fill="FFFFFF"/>
        <w:rPr>
          <w:rFonts w:ascii="Cambria" w:eastAsia="Cambria" w:hAnsi="Cambria" w:cs="Cambria"/>
          <w:color w:val="FFFFFF"/>
          <w:sz w:val="32"/>
        </w:rPr>
      </w:pPr>
      <w:r>
        <w:rPr>
          <w:rFonts w:ascii="Cambria" w:eastAsia="Cambria" w:hAnsi="Cambria" w:cs="Cambria"/>
          <w:b/>
          <w:smallCaps/>
          <w:color w:val="FFFFFF"/>
          <w:sz w:val="32"/>
        </w:rPr>
        <w:lastRenderedPageBreak/>
        <w:t>Treatment</w:t>
      </w:r>
    </w:p>
    <w:p w:rsidR="00B80285" w:rsidRDefault="00D14344">
      <w:pPr>
        <w:spacing w:before="60" w:after="240" w:line="300" w:lineRule="auto"/>
        <w:rPr>
          <w:rFonts w:ascii="Cambria" w:eastAsia="Cambria" w:hAnsi="Cambria" w:cs="Cambria"/>
        </w:rPr>
      </w:pPr>
      <w:r>
        <w:rPr>
          <w:rFonts w:ascii="Cambria" w:eastAsia="Cambria" w:hAnsi="Cambria" w:cs="Cambria"/>
        </w:rPr>
        <w:t xml:space="preserve">Excluding the first quarter of each year the number of oral cancer cases where the patient was treated with surgery (within six months of diagnosis) decreased by 44.3% from 106 per year for those diagnosed in 2018 - 2019 to 59 for those diagnosed in 2020. </w:t>
      </w:r>
      <w:r>
        <w:rPr>
          <w:rFonts w:ascii="Cambria" w:eastAsia="Cambria" w:hAnsi="Cambria" w:cs="Cambria"/>
        </w:rPr>
        <w:t xml:space="preserve">The resulting change in the proportion receiving surgery from 48.4% in 2018 - 2019 to 41.8% in 2020 was not statistically significant. </w:t>
      </w:r>
    </w:p>
    <w:p w:rsidR="00B80285" w:rsidRDefault="00D14344">
      <w:pPr>
        <w:spacing w:before="60" w:after="240" w:line="300" w:lineRule="auto"/>
        <w:rPr>
          <w:rFonts w:ascii="Cambria" w:eastAsia="Cambria" w:hAnsi="Cambria" w:cs="Cambria"/>
        </w:rPr>
      </w:pPr>
      <w:r>
        <w:rPr>
          <w:rFonts w:ascii="Cambria" w:eastAsia="Cambria" w:hAnsi="Cambria" w:cs="Cambria"/>
        </w:rPr>
        <w:t>Between the same two time periods the number of cases where the patient was treated with chemotherapy (within six months</w:t>
      </w:r>
      <w:r>
        <w:rPr>
          <w:rFonts w:ascii="Cambria" w:eastAsia="Cambria" w:hAnsi="Cambria" w:cs="Cambria"/>
        </w:rPr>
        <w:t xml:space="preserve">) decreased by 33.3% from 51 per year to 34. The resulting change in the proportion receiving chemotherapy from 23.3% in 2018 - 2019 to 24.1% in 2020 was not statistically significant. </w:t>
      </w:r>
    </w:p>
    <w:p w:rsidR="00B80285" w:rsidRDefault="00D14344">
      <w:pPr>
        <w:spacing w:before="60" w:after="240" w:line="300" w:lineRule="auto"/>
        <w:rPr>
          <w:rFonts w:ascii="Cambria" w:eastAsia="Cambria" w:hAnsi="Cambria" w:cs="Cambria"/>
        </w:rPr>
      </w:pPr>
      <w:r>
        <w:rPr>
          <w:rFonts w:ascii="Cambria" w:eastAsia="Cambria" w:hAnsi="Cambria" w:cs="Cambria"/>
        </w:rPr>
        <w:t>The number of oral cancer cases where the patient was treated with rad</w:t>
      </w:r>
      <w:r>
        <w:rPr>
          <w:rFonts w:ascii="Cambria" w:eastAsia="Cambria" w:hAnsi="Cambria" w:cs="Cambria"/>
        </w:rPr>
        <w:t>iotherapy (within six months of diagnosis) decreased by 39.7% from 131 per year for those diagnosed in April-December of 2018 - 2019 to 79 for those diagnosed in April-December of 2020. The resulting change in the proportion receiving radiotherapy from 59.</w:t>
      </w:r>
      <w:r>
        <w:rPr>
          <w:rFonts w:ascii="Cambria" w:eastAsia="Cambria" w:hAnsi="Cambria" w:cs="Cambria"/>
        </w:rPr>
        <w:t xml:space="preserve">8% in 2018 - 2019 to 56.0% in 2020 was not statistically significant. </w:t>
      </w:r>
    </w:p>
    <w:p w:rsidR="00B80285" w:rsidRDefault="00D14344">
      <w:pPr>
        <w:spacing w:before="60" w:after="240" w:line="300" w:lineRule="auto"/>
        <w:rPr>
          <w:rFonts w:ascii="Cambria" w:eastAsia="Cambria" w:hAnsi="Cambria" w:cs="Cambria"/>
        </w:rPr>
      </w:pPr>
      <w:r>
        <w:rPr>
          <w:rFonts w:ascii="Cambria" w:eastAsia="Cambria" w:hAnsi="Cambria" w:cs="Cambria"/>
        </w:rPr>
        <w:t>The proportion of patients receiving none of surgery, chemotherapy or radiotherapy (within six months of diagnosis) who were diagnosed in April-December 2020 was 19.9%. This compared to</w:t>
      </w:r>
      <w:r>
        <w:rPr>
          <w:rFonts w:ascii="Cambria" w:eastAsia="Cambria" w:hAnsi="Cambria" w:cs="Cambria"/>
        </w:rPr>
        <w:t xml:space="preserve"> 12.8% of those diagnosed in 2018 - 2019. This change was statistically significant (p = 0.038). </w:t>
      </w:r>
    </w:p>
    <w:p w:rsidR="00B80285" w:rsidRDefault="00D14344">
      <w:pPr>
        <w:spacing w:after="0"/>
        <w:ind w:left="283"/>
      </w:pPr>
      <w:r>
        <w:rPr>
          <w:rFonts w:ascii="Cambria" w:eastAsia="Cambria" w:hAnsi="Cambria" w:cs="Cambria"/>
          <w:b/>
          <w:i/>
          <w:color w:val="000080"/>
          <w:sz w:val="20"/>
        </w:rPr>
        <w:t>Table 8: Number and proportion of oral cancer cases diagnosed in April-December of 2018-2020 by treatment type and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178"/>
        <w:gridCol w:w="1929"/>
        <w:gridCol w:w="1954"/>
        <w:gridCol w:w="2050"/>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Treatment type</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c>
          <w:tcPr>
            <w:tcW w:w="0" w:type="auto"/>
            <w:tcBorders>
              <w:left w:val="single" w:sz="0" w:space="0" w:color="000000"/>
            </w:tcBorders>
            <w:vAlign w:val="center"/>
          </w:tcPr>
          <w:p w:rsidR="00B80285" w:rsidRDefault="00D14344">
            <w:pPr>
              <w:jc w:val="center"/>
            </w:pPr>
            <w:r>
              <w:rPr>
                <w:rFonts w:ascii="Cambria" w:eastAsia="Cambria" w:hAnsi="Cambria" w:cs="Cambria"/>
                <w:b/>
                <w:sz w:val="20"/>
              </w:rPr>
              <w:t>Percentage</w:t>
            </w:r>
          </w:p>
        </w:tc>
      </w:tr>
      <w:tr w:rsidR="00B80285">
        <w:trPr>
          <w:jc w:val="center"/>
        </w:trPr>
        <w:tc>
          <w:tcPr>
            <w:tcW w:w="2693"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treattype</w:t>
            </w:r>
          </w:p>
        </w:tc>
        <w:tc>
          <w:tcPr>
            <w:tcW w:w="2693"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 average</w:t>
            </w:r>
          </w:p>
        </w:tc>
        <w:tc>
          <w:tcPr>
            <w:tcW w:w="2693"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c>
          <w:tcPr>
            <w:tcW w:w="2693" w:type="dxa"/>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change</w:t>
            </w:r>
          </w:p>
        </w:tc>
      </w:tr>
      <w:tr w:rsidR="00B80285">
        <w:trPr>
          <w:jc w:val="center"/>
        </w:trPr>
        <w:tc>
          <w:tcPr>
            <w:tcW w:w="2693" w:type="dxa"/>
            <w:tcBorders>
              <w:top w:val="single" w:sz="0" w:space="0" w:color="000000"/>
              <w:right w:val="single" w:sz="0" w:space="0" w:color="000000"/>
            </w:tcBorders>
            <w:vAlign w:val="center"/>
          </w:tcPr>
          <w:p w:rsidR="00B80285" w:rsidRDefault="00D14344">
            <w:r>
              <w:rPr>
                <w:rFonts w:ascii="Cambria" w:eastAsia="Cambria" w:hAnsi="Cambria" w:cs="Cambria"/>
                <w:b/>
                <w:sz w:val="20"/>
              </w:rPr>
              <w:t>Surgery</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106 (48.4%)</w:t>
            </w:r>
          </w:p>
        </w:tc>
        <w:tc>
          <w:tcPr>
            <w:tcW w:w="2693"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59 (41.8%)</w:t>
            </w:r>
          </w:p>
        </w:tc>
        <w:tc>
          <w:tcPr>
            <w:tcW w:w="2693"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-44.3% (47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Chemotherapy</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51 (23.3%)</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34 (24.1%)</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-33.3% (17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Radiotherapy</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131 (59.8%)</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79 (56.0%)</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-39.7% (52 patients)</w:t>
            </w:r>
          </w:p>
        </w:tc>
      </w:tr>
      <w:tr w:rsidR="00B80285">
        <w:trPr>
          <w:jc w:val="center"/>
        </w:trPr>
        <w:tc>
          <w:tcPr>
            <w:tcW w:w="2693" w:type="dxa"/>
            <w:tcBorders>
              <w:right w:val="single" w:sz="0" w:space="0" w:color="000000"/>
            </w:tcBorders>
            <w:vAlign w:val="center"/>
          </w:tcPr>
          <w:p w:rsidR="00B80285" w:rsidRDefault="00D14344">
            <w:r>
              <w:rPr>
                <w:rFonts w:ascii="Cambria" w:eastAsia="Cambria" w:hAnsi="Cambria" w:cs="Cambria"/>
                <w:b/>
                <w:sz w:val="20"/>
              </w:rPr>
              <w:t>None of these treatments</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28 (12.8%)</w:t>
            </w:r>
          </w:p>
        </w:tc>
        <w:tc>
          <w:tcPr>
            <w:tcW w:w="2693" w:type="dxa"/>
            <w:tcBorders>
              <w:right w:val="single" w:sz="0" w:space="0" w:color="000000"/>
            </w:tcBorders>
            <w:vAlign w:val="center"/>
          </w:tcPr>
          <w:p w:rsidR="00B80285" w:rsidRDefault="00D14344">
            <w:pPr>
              <w:jc w:val="center"/>
            </w:pPr>
            <w:r>
              <w:rPr>
                <w:rFonts w:ascii="Cambria" w:eastAsia="Cambria" w:hAnsi="Cambria" w:cs="Cambria"/>
                <w:sz w:val="20"/>
              </w:rPr>
              <w:t>28 (19.9%)*</w:t>
            </w:r>
          </w:p>
        </w:tc>
        <w:tc>
          <w:tcPr>
            <w:tcW w:w="2693" w:type="dxa"/>
            <w:tcBorders>
              <w:left w:val="single" w:sz="0" w:space="0" w:color="000000"/>
            </w:tcBorders>
            <w:vAlign w:val="center"/>
          </w:tcPr>
          <w:p w:rsidR="00B80285" w:rsidRDefault="00D14344">
            <w:pPr>
              <w:jc w:val="center"/>
            </w:pPr>
            <w:r>
              <w:rPr>
                <w:rFonts w:ascii="Cambria" w:eastAsia="Cambria" w:hAnsi="Cambria" w:cs="Cambria"/>
                <w:sz w:val="20"/>
              </w:rPr>
              <w:t>0.0% (0 patients)</w:t>
            </w:r>
          </w:p>
        </w:tc>
      </w:tr>
      <w:tr w:rsidR="00B80285">
        <w:trPr>
          <w:jc w:val="center"/>
        </w:trPr>
        <w:tc>
          <w:tcPr>
            <w:tcW w:w="0" w:type="auto"/>
            <w:gridSpan w:val="3"/>
          </w:tcPr>
          <w:p w:rsidR="00B80285" w:rsidRDefault="00D14344">
            <w:r>
              <w:rPr>
                <w:rFonts w:ascii="Cambria" w:eastAsia="Cambria" w:hAnsi="Cambria" w:cs="Cambria"/>
                <w:i/>
                <w:sz w:val="16"/>
              </w:rPr>
              <w:t>* Statistically significant change</w:t>
            </w:r>
          </w:p>
        </w:tc>
        <w:tc>
          <w:tcPr>
            <w:tcW w:w="0" w:type="auto"/>
          </w:tcPr>
          <w:p w:rsidR="00B80285" w:rsidRDefault="00B80285"/>
        </w:tc>
      </w:tr>
    </w:tbl>
    <w:p w:rsidR="00B80285" w:rsidRDefault="00B80285"/>
    <w:p w:rsidR="00B80285" w:rsidRDefault="00D14344">
      <w:pPr>
        <w:spacing w:after="0"/>
        <w:ind w:left="283"/>
      </w:pPr>
      <w:r>
        <w:rPr>
          <w:rFonts w:ascii="Cambria" w:eastAsia="Cambria" w:hAnsi="Cambria" w:cs="Cambria"/>
          <w:b/>
          <w:i/>
          <w:color w:val="000080"/>
          <w:sz w:val="20"/>
        </w:rPr>
        <w:t>Figure 8: Oral cancer cases diagnosed in April-December of 2018-2020 by treatment received and period of diagnosis</w:t>
      </w:r>
    </w:p>
    <w:p w:rsidR="00B80285" w:rsidRDefault="00D14344">
      <w:pPr>
        <w:spacing w:after="0"/>
        <w:ind w:left="283"/>
      </w:pPr>
      <w:r>
        <w:rPr>
          <w:rFonts w:ascii="Cambria" w:eastAsia="Cambria" w:hAnsi="Cambria" w:cs="Cambria"/>
          <w:b/>
          <w:i/>
          <w:color w:val="000080"/>
          <w:sz w:val="20"/>
        </w:rPr>
        <w:t>(a) Proportion of cases diagnosed</w:t>
      </w:r>
    </w:p>
    <w:p w:rsidR="00B80285" w:rsidRDefault="00D14344">
      <w:pPr>
        <w:spacing w:after="0"/>
        <w:ind w:left="283"/>
        <w:jc w:val="center"/>
      </w:pPr>
      <w:r>
        <w:rPr>
          <w:noProof/>
          <w:lang w:val="en-GB" w:eastAsia="en-GB"/>
        </w:rPr>
        <w:drawing>
          <wp:inline distT="0" distB="0" distL="0" distR="0">
            <wp:extent cx="5039995" cy="28781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3"/>
                    <a:stretch>
                      <a:fillRect/>
                    </a:stretch>
                  </pic:blipFill>
                  <pic:spPr>
                    <a:xfrm>
                      <a:off x="0" y="0"/>
                      <a:ext cx="5039995" cy="2878128"/>
                    </a:xfrm>
                    <a:prstGeom prst="rect">
                      <a:avLst/>
                    </a:prstGeom>
                  </pic:spPr>
                </pic:pic>
              </a:graphicData>
            </a:graphic>
          </wp:inline>
        </w:drawing>
      </w:r>
    </w:p>
    <w:p w:rsidR="00B80285" w:rsidRDefault="00D14344">
      <w:r>
        <w:br w:type="page"/>
      </w:r>
    </w:p>
    <w:p w:rsidR="00B80285" w:rsidRDefault="00D14344">
      <w:pPr>
        <w:spacing w:after="0"/>
        <w:ind w:left="283"/>
      </w:pPr>
      <w:r>
        <w:rPr>
          <w:rFonts w:ascii="Cambria" w:eastAsia="Cambria" w:hAnsi="Cambria" w:cs="Cambria"/>
          <w:b/>
          <w:i/>
          <w:color w:val="000080"/>
          <w:sz w:val="20"/>
        </w:rPr>
        <w:lastRenderedPageBreak/>
        <w:t>(b) Percentage change from 2018-2019 to 2020 in number of oral cancer cases by treatment received</w:t>
      </w:r>
    </w:p>
    <w:p w:rsidR="00B80285" w:rsidRDefault="00D14344">
      <w:pPr>
        <w:spacing w:after="0"/>
        <w:ind w:left="283"/>
        <w:jc w:val="center"/>
      </w:pPr>
      <w:r>
        <w:rPr>
          <w:noProof/>
          <w:lang w:val="en-GB" w:eastAsia="en-GB"/>
        </w:rPr>
        <w:drawing>
          <wp:inline distT="0" distB="0" distL="0" distR="0">
            <wp:extent cx="5039995" cy="28781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4"/>
                    <a:stretch>
                      <a:fillRect/>
                    </a:stretch>
                  </pic:blipFill>
                  <pic:spPr>
                    <a:xfrm>
                      <a:off x="0" y="0"/>
                      <a:ext cx="5039995" cy="2878128"/>
                    </a:xfrm>
                    <a:prstGeom prst="rect">
                      <a:avLst/>
                    </a:prstGeom>
                  </pic:spPr>
                </pic:pic>
              </a:graphicData>
            </a:graphic>
          </wp:inline>
        </w:drawing>
      </w:r>
    </w:p>
    <w:p w:rsidR="00B80285" w:rsidRDefault="00D14344">
      <w:r>
        <w:br w:type="page"/>
      </w:r>
    </w:p>
    <w:p w:rsidR="00B80285" w:rsidRDefault="00D14344">
      <w:pPr>
        <w:shd w:val="solid" w:color="000080" w:fill="FFFFFF"/>
        <w:rPr>
          <w:rFonts w:ascii="Cambria" w:eastAsia="Cambria" w:hAnsi="Cambria" w:cs="Cambria"/>
          <w:color w:val="FFFFFF"/>
          <w:sz w:val="32"/>
        </w:rPr>
      </w:pPr>
      <w:r>
        <w:rPr>
          <w:rFonts w:ascii="Cambria" w:eastAsia="Cambria" w:hAnsi="Cambria" w:cs="Cambria"/>
          <w:b/>
          <w:smallCaps/>
          <w:color w:val="FFFFFF"/>
          <w:sz w:val="32"/>
        </w:rPr>
        <w:lastRenderedPageBreak/>
        <w:t>Survival</w:t>
      </w:r>
    </w:p>
    <w:p w:rsidR="00B80285" w:rsidRDefault="00D14344">
      <w:pPr>
        <w:spacing w:before="60" w:after="240" w:line="300" w:lineRule="auto"/>
        <w:rPr>
          <w:rFonts w:ascii="Cambria" w:eastAsia="Cambria" w:hAnsi="Cambria" w:cs="Cambria"/>
        </w:rPr>
      </w:pPr>
      <w:r>
        <w:rPr>
          <w:rFonts w:ascii="Cambria" w:eastAsia="Cambria" w:hAnsi="Cambria" w:cs="Cambria"/>
        </w:rPr>
        <w:t>Changes in survival are evaluated using two measures. Observed survival examines the time between diagnosis and death from any cause. It thus r</w:t>
      </w:r>
      <w:r>
        <w:rPr>
          <w:rFonts w:ascii="Cambria" w:eastAsia="Cambria" w:hAnsi="Cambria" w:cs="Cambria"/>
        </w:rPr>
        <w:t xml:space="preserve">epresents what cancer patients experience, however, due to the inclusion of non-cancer deaths (e.g. heart disease), it may not reflect how changes in cancer care impact survival from cancer. Thus changes in age-standardised net survival are also examined. </w:t>
      </w:r>
      <w:r>
        <w:rPr>
          <w:rFonts w:ascii="Cambria" w:eastAsia="Cambria" w:hAnsi="Cambria" w:cs="Cambria"/>
        </w:rPr>
        <w:t>This measure provides an estimate of patient survival which has been adjusted to take account of deaths unrelated to cancer. It also assumes a standard age distribution thereby removing the impact of changes in the age distribution of cancer patients on ch</w:t>
      </w:r>
      <w:r>
        <w:rPr>
          <w:rFonts w:ascii="Cambria" w:eastAsia="Cambria" w:hAnsi="Cambria" w:cs="Cambria"/>
        </w:rPr>
        <w:t xml:space="preserve">anges in survival over time. While this measure is hypothetical, as it assumes patients can only die from cancer related factors, it is a better indicator of the impact of changes in cancer care on patient survival. </w:t>
      </w:r>
    </w:p>
    <w:p w:rsidR="00B80285" w:rsidRDefault="00D14344">
      <w:pPr>
        <w:spacing w:before="300" w:after="60"/>
      </w:pPr>
      <w:r>
        <w:rPr>
          <w:rFonts w:ascii="Cambria" w:eastAsia="Cambria" w:hAnsi="Cambria" w:cs="Cambria"/>
          <w:b/>
          <w:color w:val="000080"/>
          <w:sz w:val="24"/>
          <w:u w:val="single"/>
        </w:rPr>
        <w:t>OBSERVED SURVIVAL</w:t>
      </w:r>
    </w:p>
    <w:p w:rsidR="00B80285" w:rsidRDefault="00D14344">
      <w:pPr>
        <w:spacing w:before="60" w:after="240" w:line="300" w:lineRule="auto"/>
        <w:rPr>
          <w:rFonts w:ascii="Cambria" w:eastAsia="Cambria" w:hAnsi="Cambria" w:cs="Cambria"/>
        </w:rPr>
      </w:pPr>
      <w:r>
        <w:rPr>
          <w:rFonts w:ascii="Cambria" w:eastAsia="Cambria" w:hAnsi="Cambria" w:cs="Cambria"/>
        </w:rPr>
        <w:t>Survival among oral c</w:t>
      </w:r>
      <w:r>
        <w:rPr>
          <w:rFonts w:ascii="Cambria" w:eastAsia="Cambria" w:hAnsi="Cambria" w:cs="Cambria"/>
        </w:rPr>
        <w:t>ancer patients one month after diagnosis decreased from 99.1% among those diagnosed in April-December of 2018 - 2019 to 97.6% among those diagnosed in April-December of 2020. This change was not statistically significant. Between the same two diagnosis per</w:t>
      </w:r>
      <w:r>
        <w:rPr>
          <w:rFonts w:ascii="Cambria" w:eastAsia="Cambria" w:hAnsi="Cambria" w:cs="Cambria"/>
        </w:rPr>
        <w:t xml:space="preserve">iods, three-month survival decreased from 94.8% to 92.1%. This change was not statistically significant. </w:t>
      </w:r>
    </w:p>
    <w:p w:rsidR="00B80285" w:rsidRDefault="00D14344">
      <w:pPr>
        <w:spacing w:after="0"/>
        <w:ind w:left="283"/>
      </w:pPr>
      <w:r>
        <w:rPr>
          <w:rFonts w:ascii="Cambria" w:eastAsia="Cambria" w:hAnsi="Cambria" w:cs="Cambria"/>
          <w:b/>
          <w:i/>
          <w:color w:val="000080"/>
          <w:sz w:val="20"/>
        </w:rPr>
        <w:t>Table 9: Observed survival for patients with oral cancer diagnosed in April-December of 2018-2020 by period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731"/>
        <w:gridCol w:w="2690"/>
        <w:gridCol w:w="2690"/>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Survival time</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r>
      <w:tr w:rsidR="00B80285">
        <w:trPr>
          <w:jc w:val="center"/>
        </w:trPr>
        <w:tc>
          <w:tcPr>
            <w:tcW w:w="3591"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survtime</w:t>
            </w:r>
          </w:p>
        </w:tc>
        <w:tc>
          <w:tcPr>
            <w:tcW w:w="3591"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3591"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r>
      <w:tr w:rsidR="00B80285">
        <w:trPr>
          <w:jc w:val="center"/>
        </w:trPr>
        <w:tc>
          <w:tcPr>
            <w:tcW w:w="3591" w:type="dxa"/>
            <w:tcBorders>
              <w:top w:val="single" w:sz="0" w:space="0" w:color="000000"/>
              <w:right w:val="single" w:sz="0" w:space="0" w:color="000000"/>
            </w:tcBorders>
            <w:vAlign w:val="center"/>
          </w:tcPr>
          <w:p w:rsidR="00B80285" w:rsidRDefault="00D14344">
            <w:r>
              <w:rPr>
                <w:rFonts w:ascii="Cambria" w:eastAsia="Cambria" w:hAnsi="Cambria" w:cs="Cambria"/>
                <w:b/>
                <w:sz w:val="20"/>
              </w:rPr>
              <w:t>1 month</w:t>
            </w:r>
          </w:p>
        </w:tc>
        <w:tc>
          <w:tcPr>
            <w:tcW w:w="3591"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99.1% (97.5% - 99.6%)</w:t>
            </w:r>
          </w:p>
        </w:tc>
        <w:tc>
          <w:tcPr>
            <w:tcW w:w="3591"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97.6% (92.9% - 99.2%)</w:t>
            </w:r>
          </w:p>
        </w:tc>
      </w:tr>
      <w:tr w:rsidR="00B80285">
        <w:trPr>
          <w:jc w:val="center"/>
        </w:trPr>
        <w:tc>
          <w:tcPr>
            <w:tcW w:w="3591" w:type="dxa"/>
            <w:tcBorders>
              <w:right w:val="single" w:sz="0" w:space="0" w:color="000000"/>
            </w:tcBorders>
            <w:vAlign w:val="center"/>
          </w:tcPr>
          <w:p w:rsidR="00B80285" w:rsidRDefault="00D14344">
            <w:r>
              <w:rPr>
                <w:rFonts w:ascii="Cambria" w:eastAsia="Cambria" w:hAnsi="Cambria" w:cs="Cambria"/>
                <w:b/>
                <w:sz w:val="20"/>
              </w:rPr>
              <w:t>2 months</w:t>
            </w:r>
          </w:p>
        </w:tc>
        <w:tc>
          <w:tcPr>
            <w:tcW w:w="3591" w:type="dxa"/>
            <w:tcBorders>
              <w:left w:val="single" w:sz="0" w:space="0" w:color="000000"/>
            </w:tcBorders>
            <w:vAlign w:val="center"/>
          </w:tcPr>
          <w:p w:rsidR="00B80285" w:rsidRDefault="00D14344">
            <w:pPr>
              <w:jc w:val="center"/>
            </w:pPr>
            <w:r>
              <w:rPr>
                <w:rFonts w:ascii="Cambria" w:eastAsia="Cambria" w:hAnsi="Cambria" w:cs="Cambria"/>
                <w:sz w:val="20"/>
              </w:rPr>
              <w:t>96.4% (94.2% - 97.8%)</w:t>
            </w:r>
          </w:p>
        </w:tc>
        <w:tc>
          <w:tcPr>
            <w:tcW w:w="3591" w:type="dxa"/>
            <w:tcBorders>
              <w:right w:val="single" w:sz="0" w:space="0" w:color="000000"/>
            </w:tcBorders>
            <w:vAlign w:val="center"/>
          </w:tcPr>
          <w:p w:rsidR="00B80285" w:rsidRDefault="00D14344">
            <w:pPr>
              <w:jc w:val="center"/>
            </w:pPr>
            <w:r>
              <w:rPr>
                <w:rFonts w:ascii="Cambria" w:eastAsia="Cambria" w:hAnsi="Cambria" w:cs="Cambria"/>
                <w:sz w:val="20"/>
              </w:rPr>
              <w:t>94.5% (88.8% - 97.3%)</w:t>
            </w:r>
          </w:p>
        </w:tc>
      </w:tr>
      <w:tr w:rsidR="00B80285">
        <w:trPr>
          <w:jc w:val="center"/>
        </w:trPr>
        <w:tc>
          <w:tcPr>
            <w:tcW w:w="3591" w:type="dxa"/>
            <w:tcBorders>
              <w:right w:val="single" w:sz="0" w:space="0" w:color="000000"/>
            </w:tcBorders>
            <w:vAlign w:val="center"/>
          </w:tcPr>
          <w:p w:rsidR="00B80285" w:rsidRDefault="00D14344">
            <w:r>
              <w:rPr>
                <w:rFonts w:ascii="Cambria" w:eastAsia="Cambria" w:hAnsi="Cambria" w:cs="Cambria"/>
                <w:b/>
                <w:sz w:val="20"/>
              </w:rPr>
              <w:t>3 months</w:t>
            </w:r>
          </w:p>
        </w:tc>
        <w:tc>
          <w:tcPr>
            <w:tcW w:w="3591" w:type="dxa"/>
            <w:tcBorders>
              <w:left w:val="single" w:sz="0" w:space="0" w:color="000000"/>
            </w:tcBorders>
            <w:vAlign w:val="center"/>
          </w:tcPr>
          <w:p w:rsidR="00B80285" w:rsidRDefault="00D14344">
            <w:pPr>
              <w:jc w:val="center"/>
            </w:pPr>
            <w:r>
              <w:rPr>
                <w:rFonts w:ascii="Cambria" w:eastAsia="Cambria" w:hAnsi="Cambria" w:cs="Cambria"/>
                <w:sz w:val="20"/>
              </w:rPr>
              <w:t>94.8% (92.2% - 96.5%)</w:t>
            </w:r>
          </w:p>
        </w:tc>
        <w:tc>
          <w:tcPr>
            <w:tcW w:w="3591" w:type="dxa"/>
            <w:tcBorders>
              <w:right w:val="single" w:sz="0" w:space="0" w:color="000000"/>
            </w:tcBorders>
            <w:vAlign w:val="center"/>
          </w:tcPr>
          <w:p w:rsidR="00B80285" w:rsidRDefault="00D14344">
            <w:pPr>
              <w:jc w:val="center"/>
            </w:pPr>
            <w:r>
              <w:rPr>
                <w:rFonts w:ascii="Cambria" w:eastAsia="Cambria" w:hAnsi="Cambria" w:cs="Cambria"/>
                <w:sz w:val="20"/>
              </w:rPr>
              <w:t>92.1% (85.9% - 95.7%)</w:t>
            </w:r>
          </w:p>
        </w:tc>
      </w:tr>
      <w:tr w:rsidR="00B80285">
        <w:trPr>
          <w:jc w:val="center"/>
        </w:trPr>
        <w:tc>
          <w:tcPr>
            <w:tcW w:w="0" w:type="auto"/>
            <w:gridSpan w:val="3"/>
          </w:tcPr>
          <w:p w:rsidR="00B80285" w:rsidRDefault="00D14344">
            <w:r>
              <w:rPr>
                <w:rFonts w:ascii="Cambria" w:eastAsia="Cambria" w:hAnsi="Cambria" w:cs="Cambria"/>
                <w:i/>
                <w:sz w:val="16"/>
              </w:rPr>
              <w:t>No statistically significant reductions</w:t>
            </w:r>
          </w:p>
        </w:tc>
      </w:tr>
    </w:tbl>
    <w:p w:rsidR="00B80285" w:rsidRDefault="00B80285"/>
    <w:p w:rsidR="00B80285" w:rsidRDefault="00D14344">
      <w:pPr>
        <w:spacing w:after="0"/>
        <w:ind w:left="283"/>
      </w:pPr>
      <w:r>
        <w:rPr>
          <w:rFonts w:ascii="Cambria" w:eastAsia="Cambria" w:hAnsi="Cambria" w:cs="Cambria"/>
          <w:b/>
          <w:i/>
          <w:color w:val="000080"/>
          <w:sz w:val="20"/>
        </w:rPr>
        <w:t>Figure 9: Observed survival for patients with oral cancer diagnosed in April-December of 2018-2020 by period of diagnosis</w:t>
      </w:r>
    </w:p>
    <w:p w:rsidR="00B80285" w:rsidRDefault="00D14344">
      <w:pPr>
        <w:spacing w:after="0"/>
        <w:ind w:left="283"/>
        <w:jc w:val="center"/>
      </w:pPr>
      <w:r>
        <w:rPr>
          <w:noProof/>
          <w:lang w:val="en-GB" w:eastAsia="en-GB"/>
        </w:rPr>
        <w:drawing>
          <wp:inline distT="0" distB="0" distL="0" distR="0">
            <wp:extent cx="5039995" cy="3237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5"/>
                    <a:stretch>
                      <a:fillRect/>
                    </a:stretch>
                  </pic:blipFill>
                  <pic:spPr>
                    <a:xfrm>
                      <a:off x="0" y="0"/>
                      <a:ext cx="5039995" cy="3237344"/>
                    </a:xfrm>
                    <a:prstGeom prst="rect">
                      <a:avLst/>
                    </a:prstGeom>
                  </pic:spPr>
                </pic:pic>
              </a:graphicData>
            </a:graphic>
          </wp:inline>
        </w:drawing>
      </w:r>
    </w:p>
    <w:p w:rsidR="00B80285" w:rsidRDefault="00D14344">
      <w:r>
        <w:br w:type="page"/>
      </w:r>
    </w:p>
    <w:p w:rsidR="00B80285" w:rsidRDefault="00D14344">
      <w:pPr>
        <w:spacing w:before="300" w:after="60"/>
      </w:pPr>
      <w:bookmarkStart w:id="0" w:name="_GoBack"/>
      <w:bookmarkEnd w:id="0"/>
      <w:r>
        <w:rPr>
          <w:rFonts w:ascii="Cambria" w:eastAsia="Cambria" w:hAnsi="Cambria" w:cs="Cambria"/>
          <w:b/>
          <w:color w:val="000080"/>
          <w:sz w:val="24"/>
          <w:u w:val="single"/>
        </w:rPr>
        <w:lastRenderedPageBreak/>
        <w:t>NET SURVIVAL</w:t>
      </w:r>
    </w:p>
    <w:p w:rsidR="00B80285" w:rsidRDefault="00D14344">
      <w:pPr>
        <w:spacing w:before="60" w:after="240" w:line="300" w:lineRule="auto"/>
        <w:rPr>
          <w:rFonts w:ascii="Cambria" w:eastAsia="Cambria" w:hAnsi="Cambria" w:cs="Cambria"/>
        </w:rPr>
      </w:pPr>
      <w:r>
        <w:rPr>
          <w:rFonts w:ascii="Cambria" w:eastAsia="Cambria" w:hAnsi="Cambria" w:cs="Cambria"/>
        </w:rPr>
        <w:t>Age-standardised net survival (which takes account of deaths from other causes such as Covid</w:t>
      </w:r>
      <w:r>
        <w:rPr>
          <w:rFonts w:ascii="Cambria" w:eastAsia="Cambria" w:hAnsi="Cambria" w:cs="Cambria"/>
        </w:rPr>
        <w:t xml:space="preserve">-19) among oral cancer patients one month after diagnosis decreased from 98.8% among those diagnosed in April-December of 2018 - 2019 to 97.1% among those diagnosed in April-December of 2020. This change was not statistically significant. Between the same </w:t>
      </w:r>
      <w:r>
        <w:rPr>
          <w:rFonts w:ascii="Cambria" w:eastAsia="Cambria" w:hAnsi="Cambria" w:cs="Cambria"/>
        </w:rPr>
        <w:t xml:space="preserve">two time periods, three-month age-standardised net survival decreased from 93.7% to 90.6%. This change was not statistically significant. </w:t>
      </w:r>
    </w:p>
    <w:p w:rsidR="00B80285" w:rsidRDefault="00D14344">
      <w:pPr>
        <w:spacing w:after="0"/>
        <w:ind w:left="283"/>
      </w:pPr>
      <w:r>
        <w:rPr>
          <w:rFonts w:ascii="Cambria" w:eastAsia="Cambria" w:hAnsi="Cambria" w:cs="Cambria"/>
          <w:b/>
          <w:i/>
          <w:color w:val="000080"/>
          <w:sz w:val="20"/>
        </w:rPr>
        <w:t>Table 10: Age-standardised net survival for patients with oral cancer diagnosed in April-December of 2018-2020 by per</w:t>
      </w:r>
      <w:r>
        <w:rPr>
          <w:rFonts w:ascii="Cambria" w:eastAsia="Cambria" w:hAnsi="Cambria" w:cs="Cambria"/>
          <w:b/>
          <w:i/>
          <w:color w:val="000080"/>
          <w:sz w:val="20"/>
        </w:rPr>
        <w:t>iod of diagnosis</w:t>
      </w:r>
    </w:p>
    <w:tbl>
      <w:tblPr>
        <w:tblStyle w:val="TableGrid"/>
        <w:tblW w:w="3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707"/>
        <w:gridCol w:w="2702"/>
        <w:gridCol w:w="2702"/>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Survival time</w:t>
            </w:r>
          </w:p>
        </w:tc>
        <w:tc>
          <w:tcPr>
            <w:tcW w:w="0" w:type="auto"/>
            <w:gridSpan w:val="2"/>
            <w:tcBorders>
              <w:left w:val="single" w:sz="0" w:space="0" w:color="000000"/>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Period of diagnosis (Apr-Dec)</w:t>
            </w:r>
          </w:p>
        </w:tc>
      </w:tr>
      <w:tr w:rsidR="00B80285">
        <w:trPr>
          <w:jc w:val="center"/>
        </w:trPr>
        <w:tc>
          <w:tcPr>
            <w:tcW w:w="3591"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survtime</w:t>
            </w:r>
          </w:p>
        </w:tc>
        <w:tc>
          <w:tcPr>
            <w:tcW w:w="3591"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2018-2019</w:t>
            </w:r>
          </w:p>
        </w:tc>
        <w:tc>
          <w:tcPr>
            <w:tcW w:w="3591" w:type="dxa"/>
            <w:tcBorders>
              <w:bottom w:val="single" w:sz="0" w:space="0" w:color="000000"/>
              <w:right w:val="single" w:sz="0" w:space="0" w:color="000000"/>
            </w:tcBorders>
            <w:vAlign w:val="center"/>
          </w:tcPr>
          <w:p w:rsidR="00B80285" w:rsidRDefault="00D14344">
            <w:pPr>
              <w:jc w:val="center"/>
            </w:pPr>
            <w:r>
              <w:rPr>
                <w:rFonts w:ascii="Cambria" w:eastAsia="Cambria" w:hAnsi="Cambria" w:cs="Cambria"/>
                <w:b/>
                <w:sz w:val="20"/>
              </w:rPr>
              <w:t>2020</w:t>
            </w:r>
          </w:p>
        </w:tc>
      </w:tr>
      <w:tr w:rsidR="00B80285">
        <w:trPr>
          <w:jc w:val="center"/>
        </w:trPr>
        <w:tc>
          <w:tcPr>
            <w:tcW w:w="3591" w:type="dxa"/>
            <w:tcBorders>
              <w:top w:val="single" w:sz="0" w:space="0" w:color="000000"/>
              <w:right w:val="single" w:sz="0" w:space="0" w:color="000000"/>
            </w:tcBorders>
            <w:vAlign w:val="center"/>
          </w:tcPr>
          <w:p w:rsidR="00B80285" w:rsidRDefault="00D14344">
            <w:r>
              <w:rPr>
                <w:rFonts w:ascii="Cambria" w:eastAsia="Cambria" w:hAnsi="Cambria" w:cs="Cambria"/>
                <w:b/>
                <w:sz w:val="20"/>
              </w:rPr>
              <w:t>1 month</w:t>
            </w:r>
          </w:p>
        </w:tc>
        <w:tc>
          <w:tcPr>
            <w:tcW w:w="3591"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98.8% (97.5% - 100.0%)</w:t>
            </w:r>
          </w:p>
        </w:tc>
        <w:tc>
          <w:tcPr>
            <w:tcW w:w="3591" w:type="dxa"/>
            <w:tcBorders>
              <w:top w:val="single" w:sz="0" w:space="0" w:color="000000"/>
              <w:right w:val="single" w:sz="0" w:space="0" w:color="000000"/>
            </w:tcBorders>
            <w:vAlign w:val="center"/>
          </w:tcPr>
          <w:p w:rsidR="00B80285" w:rsidRDefault="00D14344">
            <w:pPr>
              <w:jc w:val="center"/>
            </w:pPr>
            <w:r>
              <w:rPr>
                <w:rFonts w:ascii="Cambria" w:eastAsia="Cambria" w:hAnsi="Cambria" w:cs="Cambria"/>
                <w:sz w:val="20"/>
              </w:rPr>
              <w:t>97.1% (93.9% - 100.0%)</w:t>
            </w:r>
          </w:p>
        </w:tc>
      </w:tr>
      <w:tr w:rsidR="00B80285">
        <w:trPr>
          <w:jc w:val="center"/>
        </w:trPr>
        <w:tc>
          <w:tcPr>
            <w:tcW w:w="3591" w:type="dxa"/>
            <w:tcBorders>
              <w:right w:val="single" w:sz="0" w:space="0" w:color="000000"/>
            </w:tcBorders>
            <w:vAlign w:val="center"/>
          </w:tcPr>
          <w:p w:rsidR="00B80285" w:rsidRDefault="00D14344">
            <w:r>
              <w:rPr>
                <w:rFonts w:ascii="Cambria" w:eastAsia="Cambria" w:hAnsi="Cambria" w:cs="Cambria"/>
                <w:b/>
                <w:sz w:val="20"/>
              </w:rPr>
              <w:t>2 months</w:t>
            </w:r>
          </w:p>
        </w:tc>
        <w:tc>
          <w:tcPr>
            <w:tcW w:w="3591" w:type="dxa"/>
            <w:tcBorders>
              <w:left w:val="single" w:sz="0" w:space="0" w:color="000000"/>
            </w:tcBorders>
            <w:vAlign w:val="center"/>
          </w:tcPr>
          <w:p w:rsidR="00B80285" w:rsidRDefault="00D14344">
            <w:pPr>
              <w:jc w:val="center"/>
            </w:pPr>
            <w:r>
              <w:rPr>
                <w:rFonts w:ascii="Cambria" w:eastAsia="Cambria" w:hAnsi="Cambria" w:cs="Cambria"/>
                <w:sz w:val="20"/>
              </w:rPr>
              <w:t>95.9% (93.7% - 98.2%)</w:t>
            </w:r>
          </w:p>
        </w:tc>
        <w:tc>
          <w:tcPr>
            <w:tcW w:w="3591" w:type="dxa"/>
            <w:tcBorders>
              <w:right w:val="single" w:sz="0" w:space="0" w:color="000000"/>
            </w:tcBorders>
            <w:vAlign w:val="center"/>
          </w:tcPr>
          <w:p w:rsidR="00B80285" w:rsidRDefault="00D14344">
            <w:pPr>
              <w:jc w:val="center"/>
            </w:pPr>
            <w:r>
              <w:rPr>
                <w:rFonts w:ascii="Cambria" w:eastAsia="Cambria" w:hAnsi="Cambria" w:cs="Cambria"/>
                <w:sz w:val="20"/>
              </w:rPr>
              <w:t>93.5% (88.7% - 98.6%)</w:t>
            </w:r>
          </w:p>
        </w:tc>
      </w:tr>
      <w:tr w:rsidR="00B80285">
        <w:trPr>
          <w:jc w:val="center"/>
        </w:trPr>
        <w:tc>
          <w:tcPr>
            <w:tcW w:w="3591" w:type="dxa"/>
            <w:tcBorders>
              <w:right w:val="single" w:sz="0" w:space="0" w:color="000000"/>
            </w:tcBorders>
            <w:vAlign w:val="center"/>
          </w:tcPr>
          <w:p w:rsidR="00B80285" w:rsidRDefault="00D14344">
            <w:r>
              <w:rPr>
                <w:rFonts w:ascii="Cambria" w:eastAsia="Cambria" w:hAnsi="Cambria" w:cs="Cambria"/>
                <w:b/>
                <w:sz w:val="20"/>
              </w:rPr>
              <w:t>3 months</w:t>
            </w:r>
          </w:p>
        </w:tc>
        <w:tc>
          <w:tcPr>
            <w:tcW w:w="3591" w:type="dxa"/>
            <w:tcBorders>
              <w:left w:val="single" w:sz="0" w:space="0" w:color="000000"/>
            </w:tcBorders>
            <w:vAlign w:val="center"/>
          </w:tcPr>
          <w:p w:rsidR="00B80285" w:rsidRDefault="00D14344">
            <w:pPr>
              <w:jc w:val="center"/>
            </w:pPr>
            <w:r>
              <w:rPr>
                <w:rFonts w:ascii="Cambria" w:eastAsia="Cambria" w:hAnsi="Cambria" w:cs="Cambria"/>
                <w:sz w:val="20"/>
              </w:rPr>
              <w:t>93.7% (90.8% - 96.7%)</w:t>
            </w:r>
          </w:p>
        </w:tc>
        <w:tc>
          <w:tcPr>
            <w:tcW w:w="3591" w:type="dxa"/>
            <w:tcBorders>
              <w:right w:val="single" w:sz="0" w:space="0" w:color="000000"/>
            </w:tcBorders>
            <w:vAlign w:val="center"/>
          </w:tcPr>
          <w:p w:rsidR="00B80285" w:rsidRDefault="00D14344">
            <w:pPr>
              <w:jc w:val="center"/>
            </w:pPr>
            <w:r>
              <w:rPr>
                <w:rFonts w:ascii="Cambria" w:eastAsia="Cambria" w:hAnsi="Cambria" w:cs="Cambria"/>
                <w:sz w:val="20"/>
              </w:rPr>
              <w:t>90.6% (84.9% - 96.7%)</w:t>
            </w:r>
          </w:p>
        </w:tc>
      </w:tr>
      <w:tr w:rsidR="00B80285">
        <w:trPr>
          <w:jc w:val="center"/>
        </w:trPr>
        <w:tc>
          <w:tcPr>
            <w:tcW w:w="0" w:type="auto"/>
            <w:gridSpan w:val="3"/>
          </w:tcPr>
          <w:p w:rsidR="00B80285" w:rsidRDefault="00D14344">
            <w:r>
              <w:rPr>
                <w:rFonts w:ascii="Cambria" w:eastAsia="Cambria" w:hAnsi="Cambria" w:cs="Cambria"/>
                <w:i/>
                <w:sz w:val="16"/>
              </w:rPr>
              <w:t>No statistically significant reductions</w:t>
            </w:r>
          </w:p>
        </w:tc>
      </w:tr>
    </w:tbl>
    <w:p w:rsidR="00B80285" w:rsidRDefault="00B80285"/>
    <w:p w:rsidR="00B80285" w:rsidRDefault="00D14344">
      <w:pPr>
        <w:spacing w:after="0"/>
        <w:ind w:left="283"/>
      </w:pPr>
      <w:r>
        <w:rPr>
          <w:rFonts w:ascii="Cambria" w:eastAsia="Cambria" w:hAnsi="Cambria" w:cs="Cambria"/>
          <w:b/>
          <w:i/>
          <w:color w:val="000080"/>
          <w:sz w:val="20"/>
        </w:rPr>
        <w:t>Figure 10: Age-standardised net survival for patients with oral cancer diagnosed in April-December of 2018-2020 by period of diagnosis</w:t>
      </w:r>
    </w:p>
    <w:p w:rsidR="00B80285" w:rsidRDefault="00D14344">
      <w:pPr>
        <w:spacing w:after="0"/>
        <w:ind w:left="283"/>
        <w:jc w:val="center"/>
      </w:pPr>
      <w:r>
        <w:rPr>
          <w:noProof/>
          <w:lang w:val="en-GB" w:eastAsia="en-GB"/>
        </w:rPr>
        <w:drawing>
          <wp:inline distT="0" distB="0" distL="0" distR="0">
            <wp:extent cx="5039995" cy="32373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6"/>
                    <a:stretch>
                      <a:fillRect/>
                    </a:stretch>
                  </pic:blipFill>
                  <pic:spPr>
                    <a:xfrm>
                      <a:off x="0" y="0"/>
                      <a:ext cx="5039995" cy="3237344"/>
                    </a:xfrm>
                    <a:prstGeom prst="rect">
                      <a:avLst/>
                    </a:prstGeom>
                  </pic:spPr>
                </pic:pic>
              </a:graphicData>
            </a:graphic>
          </wp:inline>
        </w:drawing>
      </w:r>
    </w:p>
    <w:p w:rsidR="00B80285" w:rsidRDefault="00D14344">
      <w:r>
        <w:br w:type="page"/>
      </w:r>
    </w:p>
    <w:p w:rsidR="00B80285" w:rsidRDefault="00D14344">
      <w:pPr>
        <w:shd w:val="solid" w:color="000080" w:fill="FFFFFF"/>
        <w:rPr>
          <w:rFonts w:ascii="Cambria" w:eastAsia="Cambria" w:hAnsi="Cambria" w:cs="Cambria"/>
          <w:color w:val="FFFFFF"/>
          <w:sz w:val="32"/>
        </w:rPr>
      </w:pPr>
      <w:r>
        <w:rPr>
          <w:rFonts w:ascii="Cambria" w:eastAsia="Cambria" w:hAnsi="Cambria" w:cs="Cambria"/>
          <w:b/>
          <w:smallCaps/>
          <w:color w:val="FFFFFF"/>
          <w:sz w:val="32"/>
        </w:rPr>
        <w:lastRenderedPageBreak/>
        <w:t>Cancer Mortality</w:t>
      </w:r>
    </w:p>
    <w:p w:rsidR="00B80285" w:rsidRDefault="00D14344">
      <w:pPr>
        <w:spacing w:before="60" w:after="240" w:line="300" w:lineRule="auto"/>
        <w:rPr>
          <w:rFonts w:ascii="Cambria" w:eastAsia="Cambria" w:hAnsi="Cambria" w:cs="Cambria"/>
        </w:rPr>
      </w:pPr>
      <w:r>
        <w:rPr>
          <w:rFonts w:ascii="Cambria" w:eastAsia="Cambria" w:hAnsi="Cambria" w:cs="Cambria"/>
        </w:rPr>
        <w:t xml:space="preserve">During the April-December period when Covid-19 was present the number of deaths from oral cancer decreased by 2.5% from 79 per year in 2018 - 2019 to 77 in 2020. </w:t>
      </w:r>
    </w:p>
    <w:p w:rsidR="00B80285" w:rsidRDefault="00D14344">
      <w:pPr>
        <w:spacing w:after="0"/>
        <w:ind w:left="283"/>
      </w:pPr>
      <w:r>
        <w:rPr>
          <w:rFonts w:ascii="Cambria" w:eastAsia="Cambria" w:hAnsi="Cambria" w:cs="Cambria"/>
          <w:b/>
          <w:i/>
          <w:color w:val="000080"/>
          <w:sz w:val="20"/>
        </w:rPr>
        <w:t>Table 11: Number of oral cancer deaths in 2018-2020 by quarter and year of death</w:t>
      </w:r>
    </w:p>
    <w:tbl>
      <w:tblPr>
        <w:tblStyle w:val="TableGrid"/>
        <w:tblW w:w="4750" w:type="pct"/>
        <w:jc w:val="center"/>
        <w:tblBorders>
          <w:top w:val="nil"/>
          <w:left w:val="nil"/>
          <w:bottom w:val="nil"/>
          <w:right w:val="nil"/>
          <w:insideH w:val="nil"/>
          <w:insideV w:val="nil"/>
        </w:tblBorders>
        <w:tblCellMar>
          <w:top w:w="20" w:type="dxa"/>
          <w:left w:w="20" w:type="dxa"/>
          <w:bottom w:w="20" w:type="dxa"/>
          <w:right w:w="20" w:type="dxa"/>
        </w:tblCellMar>
        <w:tblLook w:val="04A0" w:firstRow="1" w:lastRow="0" w:firstColumn="1" w:lastColumn="0" w:noHBand="0" w:noVBand="1"/>
      </w:tblPr>
      <w:tblGrid>
        <w:gridCol w:w="2562"/>
        <w:gridCol w:w="2564"/>
        <w:gridCol w:w="1286"/>
        <w:gridCol w:w="1288"/>
        <w:gridCol w:w="1288"/>
        <w:gridCol w:w="1286"/>
      </w:tblGrid>
      <w:tr w:rsidR="00B80285">
        <w:trPr>
          <w:jc w:val="center"/>
        </w:trPr>
        <w:tc>
          <w:tcPr>
            <w:tcW w:w="0" w:type="auto"/>
            <w:vMerge w:val="restart"/>
            <w:tcBorders>
              <w:right w:val="single" w:sz="0" w:space="0" w:color="000000"/>
            </w:tcBorders>
            <w:vAlign w:val="center"/>
          </w:tcPr>
          <w:p w:rsidR="00B80285" w:rsidRDefault="00D14344">
            <w:r>
              <w:rPr>
                <w:rFonts w:ascii="Cambria" w:eastAsia="Cambria" w:hAnsi="Cambria" w:cs="Cambria"/>
                <w:b/>
                <w:sz w:val="20"/>
              </w:rPr>
              <w:t>Period of de</w:t>
            </w:r>
            <w:r>
              <w:rPr>
                <w:rFonts w:ascii="Cambria" w:eastAsia="Cambria" w:hAnsi="Cambria" w:cs="Cambria"/>
                <w:b/>
                <w:sz w:val="20"/>
              </w:rPr>
              <w:t>ath</w:t>
            </w:r>
          </w:p>
        </w:tc>
        <w:tc>
          <w:tcPr>
            <w:tcW w:w="0" w:type="auto"/>
            <w:vMerge w:val="restart"/>
            <w:tcBorders>
              <w:left w:val="single" w:sz="0" w:space="0" w:color="000000"/>
              <w:right w:val="single" w:sz="0" w:space="0" w:color="000000"/>
            </w:tcBorders>
            <w:vAlign w:val="center"/>
          </w:tcPr>
          <w:p w:rsidR="00B80285" w:rsidRDefault="00D14344">
            <w:pPr>
              <w:jc w:val="center"/>
            </w:pPr>
            <w:r>
              <w:rPr>
                <w:rFonts w:ascii="Cambria" w:eastAsia="Cambria" w:hAnsi="Cambria" w:cs="Cambria"/>
                <w:b/>
                <w:sz w:val="20"/>
              </w:rPr>
              <w:t>Annual total</w:t>
            </w:r>
          </w:p>
        </w:tc>
        <w:tc>
          <w:tcPr>
            <w:tcW w:w="0" w:type="auto"/>
            <w:gridSpan w:val="4"/>
            <w:tcBorders>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Quarter of year death occurred</w:t>
            </w:r>
          </w:p>
        </w:tc>
      </w:tr>
      <w:tr w:rsidR="00B80285">
        <w:trPr>
          <w:jc w:val="center"/>
        </w:trPr>
        <w:tc>
          <w:tcPr>
            <w:tcW w:w="2692" w:type="dxa"/>
            <w:vMerge/>
            <w:tcBorders>
              <w:bottom w:val="single" w:sz="0" w:space="0" w:color="000000"/>
              <w:right w:val="single" w:sz="0" w:space="0" w:color="000000"/>
            </w:tcBorders>
            <w:vAlign w:val="center"/>
          </w:tcPr>
          <w:p w:rsidR="00B80285" w:rsidRDefault="00D14344">
            <w:r>
              <w:rPr>
                <w:rFonts w:ascii="Cambria" w:eastAsia="Cambria" w:hAnsi="Cambria" w:cs="Cambria"/>
                <w:b/>
                <w:sz w:val="20"/>
              </w:rPr>
              <w:t>pddeath</w:t>
            </w:r>
          </w:p>
        </w:tc>
        <w:tc>
          <w:tcPr>
            <w:tcW w:w="2692" w:type="dxa"/>
            <w:vMerge/>
            <w:tcBorders>
              <w:left w:val="single" w:sz="0" w:space="0" w:color="000000"/>
              <w:bottom w:val="single" w:sz="0" w:space="0" w:color="000000"/>
              <w:right w:val="single" w:sz="0" w:space="0" w:color="000000"/>
            </w:tcBorders>
            <w:vAlign w:val="center"/>
          </w:tcPr>
          <w:p w:rsidR="00B80285" w:rsidRDefault="00B80285">
            <w:pPr>
              <w:jc w:val="center"/>
            </w:pPr>
          </w:p>
        </w:tc>
        <w:tc>
          <w:tcPr>
            <w:tcW w:w="1346" w:type="dxa"/>
            <w:tcBorders>
              <w:top w:val="single" w:sz="0" w:space="0" w:color="000000"/>
              <w:left w:val="single" w:sz="0" w:space="0" w:color="000000"/>
              <w:bottom w:val="single" w:sz="0" w:space="0" w:color="000000"/>
            </w:tcBorders>
            <w:vAlign w:val="center"/>
          </w:tcPr>
          <w:p w:rsidR="00B80285" w:rsidRDefault="00D14344">
            <w:pPr>
              <w:jc w:val="center"/>
            </w:pPr>
            <w:r>
              <w:rPr>
                <w:rFonts w:ascii="Cambria" w:eastAsia="Cambria" w:hAnsi="Cambria" w:cs="Cambria"/>
                <w:b/>
                <w:sz w:val="20"/>
              </w:rPr>
              <w:t>Jan-Mar</w:t>
            </w:r>
          </w:p>
        </w:tc>
        <w:tc>
          <w:tcPr>
            <w:tcW w:w="1346" w:type="dxa"/>
            <w:tcBorders>
              <w:bottom w:val="single" w:sz="0" w:space="0" w:color="000000"/>
            </w:tcBorders>
            <w:vAlign w:val="center"/>
          </w:tcPr>
          <w:p w:rsidR="00B80285" w:rsidRDefault="00D14344">
            <w:pPr>
              <w:jc w:val="center"/>
            </w:pPr>
            <w:r>
              <w:rPr>
                <w:rFonts w:ascii="Cambria" w:eastAsia="Cambria" w:hAnsi="Cambria" w:cs="Cambria"/>
                <w:b/>
                <w:sz w:val="20"/>
              </w:rPr>
              <w:t>Apr-Jun</w:t>
            </w:r>
          </w:p>
        </w:tc>
        <w:tc>
          <w:tcPr>
            <w:tcW w:w="1346" w:type="dxa"/>
            <w:tcBorders>
              <w:bottom w:val="single" w:sz="0" w:space="0" w:color="000000"/>
            </w:tcBorders>
            <w:vAlign w:val="center"/>
          </w:tcPr>
          <w:p w:rsidR="00B80285" w:rsidRDefault="00D14344">
            <w:pPr>
              <w:jc w:val="center"/>
            </w:pPr>
            <w:r>
              <w:rPr>
                <w:rFonts w:ascii="Cambria" w:eastAsia="Cambria" w:hAnsi="Cambria" w:cs="Cambria"/>
                <w:b/>
                <w:sz w:val="20"/>
              </w:rPr>
              <w:t>Jul-Sept</w:t>
            </w:r>
          </w:p>
        </w:tc>
        <w:tc>
          <w:tcPr>
            <w:tcW w:w="1346" w:type="dxa"/>
            <w:tcBorders>
              <w:bottom w:val="single" w:sz="0" w:space="0" w:color="000000"/>
            </w:tcBorders>
            <w:vAlign w:val="center"/>
          </w:tcPr>
          <w:p w:rsidR="00B80285" w:rsidRDefault="00D14344">
            <w:pPr>
              <w:jc w:val="center"/>
            </w:pPr>
            <w:r>
              <w:rPr>
                <w:rFonts w:ascii="Cambria" w:eastAsia="Cambria" w:hAnsi="Cambria" w:cs="Cambria"/>
                <w:b/>
                <w:sz w:val="20"/>
              </w:rPr>
              <w:t>Oct-Dec</w:t>
            </w:r>
          </w:p>
        </w:tc>
      </w:tr>
      <w:tr w:rsidR="00B80285">
        <w:trPr>
          <w:jc w:val="center"/>
        </w:trPr>
        <w:tc>
          <w:tcPr>
            <w:tcW w:w="2692" w:type="dxa"/>
            <w:tcBorders>
              <w:top w:val="single" w:sz="0" w:space="0" w:color="000000"/>
              <w:right w:val="single" w:sz="0" w:space="0" w:color="000000"/>
            </w:tcBorders>
            <w:vAlign w:val="center"/>
          </w:tcPr>
          <w:p w:rsidR="00B80285" w:rsidRDefault="00D14344">
            <w:r>
              <w:rPr>
                <w:rFonts w:ascii="Cambria" w:eastAsia="Cambria" w:hAnsi="Cambria" w:cs="Cambria"/>
                <w:b/>
                <w:sz w:val="20"/>
              </w:rPr>
              <w:t>2018-2019*</w:t>
            </w:r>
          </w:p>
        </w:tc>
        <w:tc>
          <w:tcPr>
            <w:tcW w:w="2692" w:type="dxa"/>
            <w:tcBorders>
              <w:top w:val="single" w:sz="0" w:space="0" w:color="000000"/>
              <w:left w:val="single" w:sz="0" w:space="0" w:color="000000"/>
              <w:right w:val="single" w:sz="0" w:space="0" w:color="000000"/>
            </w:tcBorders>
            <w:vAlign w:val="center"/>
          </w:tcPr>
          <w:p w:rsidR="00B80285" w:rsidRDefault="00D14344">
            <w:pPr>
              <w:jc w:val="center"/>
            </w:pPr>
            <w:r>
              <w:rPr>
                <w:rFonts w:ascii="Cambria" w:eastAsia="Cambria" w:hAnsi="Cambria" w:cs="Cambria"/>
                <w:sz w:val="20"/>
              </w:rPr>
              <w:t>105</w:t>
            </w:r>
          </w:p>
        </w:tc>
        <w:tc>
          <w:tcPr>
            <w:tcW w:w="1346" w:type="dxa"/>
            <w:tcBorders>
              <w:top w:val="single" w:sz="0" w:space="0" w:color="000000"/>
              <w:left w:val="single" w:sz="0" w:space="0" w:color="000000"/>
            </w:tcBorders>
            <w:vAlign w:val="center"/>
          </w:tcPr>
          <w:p w:rsidR="00B80285" w:rsidRDefault="00D14344">
            <w:pPr>
              <w:jc w:val="center"/>
            </w:pPr>
            <w:r>
              <w:rPr>
                <w:rFonts w:ascii="Cambria" w:eastAsia="Cambria" w:hAnsi="Cambria" w:cs="Cambria"/>
                <w:sz w:val="20"/>
              </w:rPr>
              <w:t>26</w:t>
            </w:r>
          </w:p>
        </w:tc>
        <w:tc>
          <w:tcPr>
            <w:tcW w:w="1346" w:type="dxa"/>
            <w:tcBorders>
              <w:top w:val="single" w:sz="0" w:space="0" w:color="000000"/>
            </w:tcBorders>
            <w:vAlign w:val="center"/>
          </w:tcPr>
          <w:p w:rsidR="00B80285" w:rsidRDefault="00D14344">
            <w:pPr>
              <w:jc w:val="center"/>
            </w:pPr>
            <w:r>
              <w:rPr>
                <w:rFonts w:ascii="Cambria" w:eastAsia="Cambria" w:hAnsi="Cambria" w:cs="Cambria"/>
                <w:sz w:val="20"/>
              </w:rPr>
              <w:t>29</w:t>
            </w:r>
          </w:p>
        </w:tc>
        <w:tc>
          <w:tcPr>
            <w:tcW w:w="1346" w:type="dxa"/>
            <w:tcBorders>
              <w:top w:val="single" w:sz="0" w:space="0" w:color="000000"/>
            </w:tcBorders>
            <w:vAlign w:val="center"/>
          </w:tcPr>
          <w:p w:rsidR="00B80285" w:rsidRDefault="00D14344">
            <w:pPr>
              <w:jc w:val="center"/>
            </w:pPr>
            <w:r>
              <w:rPr>
                <w:rFonts w:ascii="Cambria" w:eastAsia="Cambria" w:hAnsi="Cambria" w:cs="Cambria"/>
                <w:sz w:val="20"/>
              </w:rPr>
              <w:t>25</w:t>
            </w:r>
          </w:p>
        </w:tc>
        <w:tc>
          <w:tcPr>
            <w:tcW w:w="1346" w:type="dxa"/>
            <w:tcBorders>
              <w:top w:val="single" w:sz="0" w:space="0" w:color="000000"/>
            </w:tcBorders>
            <w:vAlign w:val="center"/>
          </w:tcPr>
          <w:p w:rsidR="00B80285" w:rsidRDefault="00D14344">
            <w:pPr>
              <w:jc w:val="center"/>
            </w:pPr>
            <w:r>
              <w:rPr>
                <w:rFonts w:ascii="Cambria" w:eastAsia="Cambria" w:hAnsi="Cambria" w:cs="Cambria"/>
                <w:sz w:val="20"/>
              </w:rPr>
              <w:t>25</w:t>
            </w:r>
          </w:p>
        </w:tc>
      </w:tr>
      <w:tr w:rsidR="00B80285">
        <w:trPr>
          <w:jc w:val="center"/>
        </w:trPr>
        <w:tc>
          <w:tcPr>
            <w:tcW w:w="2692" w:type="dxa"/>
            <w:tcBorders>
              <w:right w:val="single" w:sz="0" w:space="0" w:color="000000"/>
            </w:tcBorders>
            <w:vAlign w:val="center"/>
          </w:tcPr>
          <w:p w:rsidR="00B80285" w:rsidRDefault="00D14344">
            <w:r>
              <w:rPr>
                <w:rFonts w:ascii="Cambria" w:eastAsia="Cambria" w:hAnsi="Cambria" w:cs="Cambria"/>
                <w:b/>
                <w:sz w:val="20"/>
              </w:rPr>
              <w:t>2020</w:t>
            </w:r>
          </w:p>
        </w:tc>
        <w:tc>
          <w:tcPr>
            <w:tcW w:w="2692" w:type="dxa"/>
            <w:tcBorders>
              <w:left w:val="single" w:sz="0" w:space="0" w:color="000000"/>
              <w:right w:val="single" w:sz="0" w:space="0" w:color="000000"/>
            </w:tcBorders>
            <w:vAlign w:val="center"/>
          </w:tcPr>
          <w:p w:rsidR="00B80285" w:rsidRDefault="00D14344">
            <w:pPr>
              <w:jc w:val="center"/>
            </w:pPr>
            <w:r>
              <w:rPr>
                <w:rFonts w:ascii="Cambria" w:eastAsia="Cambria" w:hAnsi="Cambria" w:cs="Cambria"/>
                <w:sz w:val="20"/>
              </w:rPr>
              <w:t>106</w:t>
            </w:r>
          </w:p>
        </w:tc>
        <w:tc>
          <w:tcPr>
            <w:tcW w:w="1346" w:type="dxa"/>
            <w:tcBorders>
              <w:left w:val="single" w:sz="0" w:space="0" w:color="000000"/>
            </w:tcBorders>
            <w:vAlign w:val="center"/>
          </w:tcPr>
          <w:p w:rsidR="00B80285" w:rsidRDefault="00D14344">
            <w:pPr>
              <w:jc w:val="center"/>
            </w:pPr>
            <w:r>
              <w:rPr>
                <w:rFonts w:ascii="Cambria" w:eastAsia="Cambria" w:hAnsi="Cambria" w:cs="Cambria"/>
                <w:sz w:val="20"/>
              </w:rPr>
              <w:t>29</w:t>
            </w:r>
          </w:p>
        </w:tc>
        <w:tc>
          <w:tcPr>
            <w:tcW w:w="1346" w:type="dxa"/>
            <w:vAlign w:val="center"/>
          </w:tcPr>
          <w:p w:rsidR="00B80285" w:rsidRDefault="00D14344">
            <w:pPr>
              <w:jc w:val="center"/>
            </w:pPr>
            <w:r>
              <w:rPr>
                <w:rFonts w:ascii="Cambria" w:eastAsia="Cambria" w:hAnsi="Cambria" w:cs="Cambria"/>
                <w:sz w:val="20"/>
              </w:rPr>
              <w:t>27</w:t>
            </w:r>
          </w:p>
        </w:tc>
        <w:tc>
          <w:tcPr>
            <w:tcW w:w="1346" w:type="dxa"/>
            <w:vAlign w:val="center"/>
          </w:tcPr>
          <w:p w:rsidR="00B80285" w:rsidRDefault="00D14344">
            <w:pPr>
              <w:jc w:val="center"/>
            </w:pPr>
            <w:r>
              <w:rPr>
                <w:rFonts w:ascii="Cambria" w:eastAsia="Cambria" w:hAnsi="Cambria" w:cs="Cambria"/>
                <w:sz w:val="20"/>
              </w:rPr>
              <w:t>22</w:t>
            </w:r>
          </w:p>
        </w:tc>
        <w:tc>
          <w:tcPr>
            <w:tcW w:w="1346" w:type="dxa"/>
            <w:vAlign w:val="center"/>
          </w:tcPr>
          <w:p w:rsidR="00B80285" w:rsidRDefault="00D14344">
            <w:pPr>
              <w:jc w:val="center"/>
            </w:pPr>
            <w:r>
              <w:rPr>
                <w:rFonts w:ascii="Cambria" w:eastAsia="Cambria" w:hAnsi="Cambria" w:cs="Cambria"/>
                <w:sz w:val="20"/>
              </w:rPr>
              <w:t>28</w:t>
            </w:r>
          </w:p>
        </w:tc>
      </w:tr>
      <w:tr w:rsidR="00B80285">
        <w:trPr>
          <w:jc w:val="center"/>
        </w:trPr>
        <w:tc>
          <w:tcPr>
            <w:tcW w:w="0" w:type="auto"/>
            <w:gridSpan w:val="6"/>
          </w:tcPr>
          <w:p w:rsidR="00B80285" w:rsidRDefault="00D14344">
            <w:r>
              <w:rPr>
                <w:rFonts w:ascii="Cambria" w:eastAsia="Cambria" w:hAnsi="Cambria" w:cs="Cambria"/>
                <w:i/>
                <w:sz w:val="16"/>
              </w:rPr>
              <w:t>* Average deaths per year rounded to the nearest integer. Row sums may thus differ slightly from the total.</w:t>
            </w:r>
          </w:p>
        </w:tc>
      </w:tr>
    </w:tbl>
    <w:p w:rsidR="00B80285" w:rsidRDefault="00B80285"/>
    <w:p w:rsidR="00B80285" w:rsidRDefault="00D14344">
      <w:pPr>
        <w:spacing w:after="0"/>
        <w:ind w:left="283"/>
      </w:pPr>
      <w:r>
        <w:rPr>
          <w:rFonts w:ascii="Cambria" w:eastAsia="Cambria" w:hAnsi="Cambria" w:cs="Cambria"/>
          <w:b/>
          <w:i/>
          <w:color w:val="000080"/>
          <w:sz w:val="20"/>
        </w:rPr>
        <w:t>Figure 11: Number of oral cancer deaths in 2018-2020 by quarter and year of death</w:t>
      </w:r>
    </w:p>
    <w:p w:rsidR="00B80285" w:rsidRDefault="00D14344">
      <w:pPr>
        <w:spacing w:after="0"/>
        <w:ind w:left="283"/>
      </w:pPr>
      <w:r>
        <w:rPr>
          <w:rFonts w:ascii="Cambria" w:eastAsia="Cambria" w:hAnsi="Cambria" w:cs="Cambria"/>
          <w:b/>
          <w:i/>
          <w:color w:val="000080"/>
          <w:sz w:val="20"/>
        </w:rPr>
        <w:t>(a) Number of deaths</w:t>
      </w:r>
    </w:p>
    <w:p w:rsidR="00B80285" w:rsidRDefault="00D14344">
      <w:pPr>
        <w:spacing w:after="0"/>
        <w:ind w:left="283"/>
        <w:jc w:val="center"/>
      </w:pPr>
      <w:r>
        <w:rPr>
          <w:noProof/>
          <w:lang w:val="en-GB" w:eastAsia="en-GB"/>
        </w:rPr>
        <w:drawing>
          <wp:inline distT="0" distB="0" distL="0" distR="0">
            <wp:extent cx="5399405" cy="3166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stretch>
                      <a:fillRect/>
                    </a:stretch>
                  </pic:blipFill>
                  <pic:spPr>
                    <a:xfrm>
                      <a:off x="0" y="0"/>
                      <a:ext cx="5399405" cy="3166993"/>
                    </a:xfrm>
                    <a:prstGeom prst="rect">
                      <a:avLst/>
                    </a:prstGeom>
                  </pic:spPr>
                </pic:pic>
              </a:graphicData>
            </a:graphic>
          </wp:inline>
        </w:drawing>
      </w:r>
    </w:p>
    <w:p w:rsidR="00B80285" w:rsidRDefault="00D14344">
      <w:pPr>
        <w:spacing w:after="0"/>
        <w:ind w:left="283"/>
      </w:pPr>
      <w:r>
        <w:rPr>
          <w:rFonts w:ascii="Cambria" w:eastAsia="Cambria" w:hAnsi="Cambria" w:cs="Cambria"/>
          <w:b/>
          <w:i/>
          <w:color w:val="000080"/>
          <w:sz w:val="20"/>
        </w:rPr>
        <w:t>(b) Percentage change from 2018-2019 to 2020 in number of oral cancer deaths by quarter of year of death</w:t>
      </w:r>
    </w:p>
    <w:p w:rsidR="00B80285" w:rsidRDefault="00D14344">
      <w:pPr>
        <w:spacing w:after="0"/>
        <w:ind w:left="283"/>
        <w:jc w:val="center"/>
      </w:pPr>
      <w:r>
        <w:rPr>
          <w:noProof/>
          <w:lang w:val="en-GB" w:eastAsia="en-GB"/>
        </w:rPr>
        <w:drawing>
          <wp:inline distT="0" distB="0" distL="0" distR="0">
            <wp:extent cx="5399405" cy="31669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stretch>
                      <a:fillRect/>
                    </a:stretch>
                  </pic:blipFill>
                  <pic:spPr>
                    <a:xfrm>
                      <a:off x="0" y="0"/>
                      <a:ext cx="5399405" cy="3166993"/>
                    </a:xfrm>
                    <a:prstGeom prst="rect">
                      <a:avLst/>
                    </a:prstGeom>
                  </pic:spPr>
                </pic:pic>
              </a:graphicData>
            </a:graphic>
          </wp:inline>
        </w:drawing>
      </w:r>
    </w:p>
    <w:sectPr w:rsidR="00B80285">
      <w:footerReference w:type="default" r:id="rId29"/>
      <w:pgSz w:w="11907" w:h="16839" w:code="9"/>
      <w:pgMar w:top="566" w:right="566" w:bottom="0" w:left="566" w:header="720" w:footer="720" w:gutter="0"/>
      <w:pgNumType w:fmt="decimalEnclosedCircle" w:start="1" w:chapStyle="25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14344">
      <w:pPr>
        <w:spacing w:after="0" w:line="240" w:lineRule="auto"/>
      </w:pPr>
      <w:r>
        <w:separator/>
      </w:r>
    </w:p>
  </w:endnote>
  <w:endnote w:type="continuationSeparator" w:id="0">
    <w:p w:rsidR="00000000" w:rsidRDefault="00D1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285" w:rsidRDefault="00D14344">
    <w:pPr>
      <w:spacing w:after="0" w:line="260" w:lineRule="auto"/>
      <w:rPr>
        <w:rFonts w:ascii="Cambria" w:eastAsia="Cambria" w:hAnsi="Cambria" w:cs="Cambria"/>
        <w:color w:val="FFFFFF"/>
        <w:sz w:val="10"/>
      </w:rPr>
    </w:pPr>
    <w:r>
      <w:rPr>
        <w:rFonts w:ascii="Cambria" w:eastAsia="Cambria" w:hAnsi="Cambria" w:cs="Cambria"/>
        <w:color w:val="FFFFFF"/>
        <w:sz w:val="10"/>
      </w:rPr>
      <w:t xml:space="preserve"> </w:t>
    </w:r>
  </w:p>
  <w:p w:rsidR="00B80285" w:rsidRDefault="00D14344">
    <w:pPr>
      <w:shd w:val="solid" w:color="000080" w:fill="FFFFFF"/>
      <w:spacing w:before="20" w:after="20" w:line="260" w:lineRule="auto"/>
      <w:textAlignment w:val="center"/>
      <w:rPr>
        <w:rFonts w:ascii="Cambria" w:eastAsia="Cambria" w:hAnsi="Cambria" w:cs="Cambria"/>
        <w:color w:val="FFFFFF"/>
        <w:sz w:val="20"/>
      </w:rPr>
    </w:pPr>
    <w:r>
      <w:rPr>
        <w:rFonts w:ascii="Cambria" w:eastAsia="Cambria" w:hAnsi="Cambria" w:cs="Cambria"/>
        <w:color w:val="FFFFFF"/>
        <w:sz w:val="20"/>
      </w:rPr>
      <w:fldChar w:fldCharType="begin"/>
    </w:r>
    <w:r>
      <w:rPr>
        <w:rFonts w:ascii="Cambria" w:eastAsia="Cambria" w:hAnsi="Cambria" w:cs="Cambria"/>
        <w:color w:val="FFFFFF"/>
        <w:sz w:val="20"/>
      </w:rPr>
      <w:instrText xml:space="preserve"> PAGE \* MERGEFORMAT </w:instrText>
    </w:r>
    <w:r>
      <w:rPr>
        <w:rFonts w:ascii="Cambria" w:eastAsia="Cambria" w:hAnsi="Cambria" w:cs="Cambria"/>
        <w:color w:val="FFFFFF"/>
        <w:sz w:val="20"/>
      </w:rPr>
      <w:fldChar w:fldCharType="separate"/>
    </w:r>
    <w:r>
      <w:rPr>
        <w:rFonts w:ascii="Cambria" w:eastAsia="Cambria" w:hAnsi="Cambria" w:cs="Cambria"/>
        <w:noProof/>
        <w:color w:val="FFFFFF"/>
        <w:sz w:val="20"/>
      </w:rPr>
      <w:t>⑥</w:t>
    </w:r>
    <w:r>
      <w:rPr>
        <w:rFonts w:ascii="Cambria" w:eastAsia="Cambria" w:hAnsi="Cambria" w:cs="Cambria"/>
        <w:color w:val="FFFFFF"/>
        <w:sz w:val="20"/>
      </w:rPr>
      <w:fldChar w:fldCharType="end"/>
    </w:r>
    <w:r>
      <w:rPr>
        <w:rFonts w:ascii="Cambria" w:eastAsia="Cambria" w:hAnsi="Cambria" w:cs="Cambria"/>
        <w:b/>
        <w:color w:val="FFFFFF"/>
        <w:sz w:val="20"/>
      </w:rPr>
      <w:t>Impact of Covid-19 on incidence, survival and mortality of oral cancer in Northern Ireland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14344">
      <w:pPr>
        <w:spacing w:after="0" w:line="240" w:lineRule="auto"/>
      </w:pPr>
      <w:r>
        <w:separator/>
      </w:r>
    </w:p>
  </w:footnote>
  <w:footnote w:type="continuationSeparator" w:id="0">
    <w:p w:rsidR="00000000" w:rsidRDefault="00D143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B80285"/>
    <w:rsid w:val="00B80285"/>
    <w:rsid w:val="00D14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718F7-4873-4B14-8E23-8A2906C2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2273</Words>
  <Characters>12958</Characters>
  <Application>Microsoft Office Word</Application>
  <DocSecurity>0</DocSecurity>
  <Lines>107</Lines>
  <Paragraphs>30</Paragraphs>
  <ScaleCrop>false</ScaleCrop>
  <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Donnelly</cp:lastModifiedBy>
  <cp:revision>2</cp:revision>
  <dcterms:created xsi:type="dcterms:W3CDTF">2022-12-12T13:15:00Z</dcterms:created>
  <dcterms:modified xsi:type="dcterms:W3CDTF">2022-12-12T13:16:00Z</dcterms:modified>
</cp:coreProperties>
</file>