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C669" w14:textId="77777777"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14:paraId="1793C66A" w14:textId="77777777"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14:paraId="1793C66B" w14:textId="77777777" w:rsidR="00931D70" w:rsidRDefault="00931D70"/>
    <w:p w14:paraId="1793C66C" w14:textId="77777777"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14:paraId="1793C670" w14:textId="77777777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3C66D" w14:textId="77777777"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14:paraId="1793C66E" w14:textId="77777777"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14:paraId="1793C66F" w14:textId="77777777"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14:paraId="1793C674" w14:textId="77777777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3C671" w14:textId="77777777"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14:paraId="1793C672" w14:textId="77777777"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14:paraId="1793C673" w14:textId="77777777"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14:paraId="1793C678" w14:textId="77777777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3C675" w14:textId="77777777"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14:paraId="1793C676" w14:textId="77777777"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793C677" w14:textId="77777777"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14:paraId="1793C67F" w14:textId="77777777" w:rsidTr="00931D70">
        <w:tc>
          <w:tcPr>
            <w:tcW w:w="4077" w:type="dxa"/>
          </w:tcPr>
          <w:p w14:paraId="1793C679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14:paraId="1793C67A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7B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7C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7D" w14:textId="77777777"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14:paraId="1793C67E" w14:textId="53D8EDC6" w:rsidR="00931D70" w:rsidRDefault="000F0F6A" w:rsidP="00F36E5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380790" w:rsidRPr="00380790">
              <w:rPr>
                <w:sz w:val="24"/>
                <w:szCs w:val="24"/>
              </w:rPr>
              <w:t>The impact of excluding or including Death Certificate Initiated (DCI) cases on estimated cancer survival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14:paraId="1793C686" w14:textId="77777777" w:rsidTr="00931D70">
        <w:tc>
          <w:tcPr>
            <w:tcW w:w="4077" w:type="dxa"/>
          </w:tcPr>
          <w:p w14:paraId="1793C680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14:paraId="1793C681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82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83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84" w14:textId="77777777"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793C685" w14:textId="3A17CB2C" w:rsidR="00931D70" w:rsidRDefault="000F0F6A" w:rsidP="00F36E5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42F2D" w:rsidRPr="00642F2D">
              <w:rPr>
                <w:sz w:val="24"/>
                <w:szCs w:val="24"/>
              </w:rPr>
              <w:t>Therese M-L Andersson, Tor Åge Myklebust, Mark J Rutherford, Bjørn Møller, Isabelle Soerjomataram, Melina Arnold, Freddie Bray, D Maxwell Parkin, Peter Sasieni, Oliver Bucher, Prithwish De, Gerda Engholm, Anna Gavin, Alana Little, Geoff Porter, Agnihotram V Ramanakumar, Nathalie Saint-Jacques, Paul M. Walsh, Ryan R Woods, Paul C Lambert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14:paraId="1793C68A" w14:textId="77777777" w:rsidTr="00931D70">
        <w:tc>
          <w:tcPr>
            <w:tcW w:w="4077" w:type="dxa"/>
          </w:tcPr>
          <w:p w14:paraId="1793C687" w14:textId="77777777"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14:paraId="1793C688" w14:textId="77777777"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793C689" w14:textId="469A50A4" w:rsidR="00931D70" w:rsidRDefault="000F0F6A" w:rsidP="00F36E5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D6BE7">
              <w:rPr>
                <w:sz w:val="24"/>
                <w:szCs w:val="24"/>
              </w:rPr>
              <w:t>Cancer Epidemiology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14:paraId="1793C68E" w14:textId="77777777" w:rsidTr="00931D70">
        <w:tc>
          <w:tcPr>
            <w:tcW w:w="4077" w:type="dxa"/>
          </w:tcPr>
          <w:p w14:paraId="1793C68B" w14:textId="77777777"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14:paraId="1793C68C" w14:textId="205B315B" w:rsidR="00510DF2" w:rsidRDefault="00510DF2" w:rsidP="00F53EBE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394AA9" w:rsidRPr="00394AA9">
              <w:rPr>
                <w:sz w:val="24"/>
                <w:szCs w:val="24"/>
              </w:rPr>
              <w:t>10.1016/j.canep.2020.101881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14:paraId="1793C68D" w14:textId="77777777"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14:paraId="1793C693" w14:textId="77777777" w:rsidTr="00931D70">
        <w:tc>
          <w:tcPr>
            <w:tcW w:w="4077" w:type="dxa"/>
          </w:tcPr>
          <w:p w14:paraId="1793C68F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14:paraId="1793C690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91" w14:textId="77777777"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793C692" w14:textId="16639DA5" w:rsidR="00510DF2" w:rsidRDefault="00510DF2" w:rsidP="00F36E5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A5849" w:rsidRPr="00CA5849">
              <w:rPr>
                <w:sz w:val="24"/>
                <w:szCs w:val="24"/>
              </w:rPr>
              <w:t xml:space="preserve">ICBP is funded by the Canadian Partnership Against Cancer; Cancer Council Victoria; Cancer Institute New South Wales; Cancer Research UK; Danish Cancer Society; National Cancer Registry Ireland; The Cancer Society of New Zealand; NHS England; Norwegian Cancer Society; Public Health Agency Northern Ireland on behalf of the Northern Ireland Cancer Registry; DG Health and Social Care, Scottish Government; Western Australia Department of Health; Public Health Wales NHS Trust.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14:paraId="1793C697" w14:textId="77777777" w:rsidTr="00931D70">
        <w:tc>
          <w:tcPr>
            <w:tcW w:w="4077" w:type="dxa"/>
          </w:tcPr>
          <w:p w14:paraId="1793C694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14:paraId="1793C695" w14:textId="77777777"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793C696" w14:textId="2B98E14C"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29064C">
              <w:rPr>
                <w:sz w:val="24"/>
                <w:szCs w:val="24"/>
              </w:rPr>
            </w:r>
            <w:r w:rsidR="0029064C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29064C">
              <w:rPr>
                <w:sz w:val="24"/>
                <w:szCs w:val="24"/>
              </w:rPr>
            </w:r>
            <w:r w:rsidR="0029064C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29064C">
              <w:rPr>
                <w:sz w:val="24"/>
                <w:szCs w:val="24"/>
              </w:rPr>
            </w:r>
            <w:r w:rsidR="0029064C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14:paraId="1793C6A0" w14:textId="77777777" w:rsidTr="00931D70">
        <w:tc>
          <w:tcPr>
            <w:tcW w:w="4077" w:type="dxa"/>
          </w:tcPr>
          <w:p w14:paraId="1793C698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14:paraId="1793C699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9A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9B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9C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9D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9E" w14:textId="77777777"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51E47665" w14:textId="77777777" w:rsidR="00D3573A" w:rsidRDefault="00510DF2" w:rsidP="00F3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D5409">
              <w:rPr>
                <w:sz w:val="24"/>
                <w:szCs w:val="24"/>
              </w:rPr>
              <w:t xml:space="preserve">This international </w:t>
            </w:r>
            <w:r w:rsidR="00934031">
              <w:rPr>
                <w:sz w:val="24"/>
                <w:szCs w:val="24"/>
              </w:rPr>
              <w:t>study of cancer survival was a simulation using death certified (DCO) cases (which are usually</w:t>
            </w:r>
            <w:r w:rsidR="00082E43">
              <w:rPr>
                <w:sz w:val="24"/>
                <w:szCs w:val="24"/>
              </w:rPr>
              <w:t xml:space="preserve"> </w:t>
            </w:r>
            <w:proofErr w:type="spellStart"/>
            <w:r w:rsidR="00082E43">
              <w:rPr>
                <w:sz w:val="24"/>
                <w:szCs w:val="24"/>
              </w:rPr>
              <w:t>exluded</w:t>
            </w:r>
            <w:proofErr w:type="spellEnd"/>
            <w:r w:rsidR="00082E43">
              <w:rPr>
                <w:sz w:val="24"/>
                <w:szCs w:val="24"/>
              </w:rPr>
              <w:t xml:space="preserve"> from survival calculations). This was to see if differences in death certified ca</w:t>
            </w:r>
            <w:r w:rsidR="00D3573A">
              <w:rPr>
                <w:sz w:val="24"/>
                <w:szCs w:val="24"/>
              </w:rPr>
              <w:t>ncer levels made a difference to survival estimates.</w:t>
            </w:r>
          </w:p>
          <w:p w14:paraId="1793C69F" w14:textId="24E8A987" w:rsidR="00510DF2" w:rsidRDefault="00D3573A" w:rsidP="00F36E59">
            <w:r>
              <w:rPr>
                <w:sz w:val="24"/>
                <w:szCs w:val="24"/>
              </w:rPr>
              <w:t>They concluded that excluding death certified cases (DCO)</w:t>
            </w:r>
            <w:r w:rsidR="0018407D">
              <w:rPr>
                <w:sz w:val="24"/>
                <w:szCs w:val="24"/>
              </w:rPr>
              <w:t xml:space="preserve"> will in most cases overestimate survival. The extent of the bias depends on how missed cases differ from those registered through other routine sources.  </w:t>
            </w:r>
            <w:r w:rsidR="00510DF2">
              <w:rPr>
                <w:sz w:val="24"/>
                <w:szCs w:val="24"/>
              </w:rPr>
              <w:fldChar w:fldCharType="end"/>
            </w:r>
          </w:p>
        </w:tc>
      </w:tr>
      <w:tr w:rsidR="00510DF2" w14:paraId="1793C6A8" w14:textId="77777777" w:rsidTr="00931D70">
        <w:tc>
          <w:tcPr>
            <w:tcW w:w="4077" w:type="dxa"/>
          </w:tcPr>
          <w:p w14:paraId="1793C6A1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14:paraId="1793C6A2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A3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A4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A5" w14:textId="77777777"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793C6A6" w14:textId="77777777"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793C6A7" w14:textId="563323BA" w:rsidR="00510DF2" w:rsidRDefault="00510DF2" w:rsidP="00F36E5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0C80">
              <w:rPr>
                <w:sz w:val="24"/>
                <w:szCs w:val="24"/>
              </w:rPr>
              <w:t>No implication for the service - The NI Cancer Registry already records the number of Death Cer</w:t>
            </w:r>
            <w:r w:rsidR="003854FE">
              <w:rPr>
                <w:sz w:val="24"/>
                <w:szCs w:val="24"/>
              </w:rPr>
              <w:t xml:space="preserve">tificate </w:t>
            </w:r>
            <w:r w:rsidR="005B1E2D">
              <w:rPr>
                <w:sz w:val="24"/>
                <w:szCs w:val="24"/>
              </w:rPr>
              <w:t xml:space="preserve">Initiated </w:t>
            </w:r>
            <w:r w:rsidR="003854FE">
              <w:rPr>
                <w:sz w:val="24"/>
                <w:szCs w:val="24"/>
              </w:rPr>
              <w:t xml:space="preserve">Cases (those where the registry is notified by </w:t>
            </w:r>
            <w:r w:rsidR="004C4726">
              <w:rPr>
                <w:sz w:val="24"/>
                <w:szCs w:val="24"/>
              </w:rPr>
              <w:t xml:space="preserve">death certificate but </w:t>
            </w:r>
            <w:proofErr w:type="spellStart"/>
            <w:r w:rsidR="004C4726">
              <w:rPr>
                <w:sz w:val="24"/>
                <w:szCs w:val="24"/>
              </w:rPr>
              <w:t>additonal</w:t>
            </w:r>
            <w:proofErr w:type="spellEnd"/>
            <w:r w:rsidR="004C4726">
              <w:rPr>
                <w:sz w:val="24"/>
                <w:szCs w:val="24"/>
              </w:rPr>
              <w:t xml:space="preserve"> information becomes available)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793C6A9" w14:textId="77777777" w:rsidR="00931D70" w:rsidRDefault="00931D70"/>
    <w:p w14:paraId="1793C6AA" w14:textId="77777777" w:rsidR="000C66D3" w:rsidRDefault="000C66D3"/>
    <w:p w14:paraId="1793C6AB" w14:textId="77777777" w:rsidR="000C66D3" w:rsidRDefault="000C66D3"/>
    <w:p w14:paraId="1793C6AC" w14:textId="77777777" w:rsidR="000C66D3" w:rsidRDefault="000C66D3"/>
    <w:p w14:paraId="1793C6AD" w14:textId="77777777"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30FC" w14:textId="77777777" w:rsidR="0029064C" w:rsidRDefault="0029064C" w:rsidP="00DC422A">
      <w:r>
        <w:separator/>
      </w:r>
    </w:p>
  </w:endnote>
  <w:endnote w:type="continuationSeparator" w:id="0">
    <w:p w14:paraId="40CB2484" w14:textId="77777777" w:rsidR="0029064C" w:rsidRDefault="0029064C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3C6B2" w14:textId="77777777"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3C6B3" w14:textId="77777777"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6864" w14:textId="77777777" w:rsidR="0029064C" w:rsidRDefault="0029064C" w:rsidP="00DC422A">
      <w:r>
        <w:separator/>
      </w:r>
    </w:p>
  </w:footnote>
  <w:footnote w:type="continuationSeparator" w:id="0">
    <w:p w14:paraId="3989E681" w14:textId="77777777" w:rsidR="0029064C" w:rsidRDefault="0029064C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54"/>
    <w:rsid w:val="00082E43"/>
    <w:rsid w:val="0008375D"/>
    <w:rsid w:val="000C66D3"/>
    <w:rsid w:val="000F0F6A"/>
    <w:rsid w:val="0014471D"/>
    <w:rsid w:val="0018407D"/>
    <w:rsid w:val="00185A00"/>
    <w:rsid w:val="001C26B5"/>
    <w:rsid w:val="001D32A4"/>
    <w:rsid w:val="00246C8D"/>
    <w:rsid w:val="002826EA"/>
    <w:rsid w:val="0029064C"/>
    <w:rsid w:val="002D6BE7"/>
    <w:rsid w:val="00323FC6"/>
    <w:rsid w:val="00380790"/>
    <w:rsid w:val="003854FE"/>
    <w:rsid w:val="00394AA9"/>
    <w:rsid w:val="004145C2"/>
    <w:rsid w:val="004410A3"/>
    <w:rsid w:val="00497A03"/>
    <w:rsid w:val="004B7997"/>
    <w:rsid w:val="004C4726"/>
    <w:rsid w:val="00510DF2"/>
    <w:rsid w:val="0051356F"/>
    <w:rsid w:val="005673DF"/>
    <w:rsid w:val="005940DE"/>
    <w:rsid w:val="005A0503"/>
    <w:rsid w:val="005B1E2D"/>
    <w:rsid w:val="00640D53"/>
    <w:rsid w:val="00642F2D"/>
    <w:rsid w:val="006F4C44"/>
    <w:rsid w:val="007228D7"/>
    <w:rsid w:val="00797FB4"/>
    <w:rsid w:val="007A2BF5"/>
    <w:rsid w:val="00810F7F"/>
    <w:rsid w:val="0083263E"/>
    <w:rsid w:val="00887262"/>
    <w:rsid w:val="008B4508"/>
    <w:rsid w:val="00904F69"/>
    <w:rsid w:val="00931D70"/>
    <w:rsid w:val="00934031"/>
    <w:rsid w:val="00986F65"/>
    <w:rsid w:val="009F0C80"/>
    <w:rsid w:val="00A03740"/>
    <w:rsid w:val="00A44386"/>
    <w:rsid w:val="00B14054"/>
    <w:rsid w:val="00BB20DC"/>
    <w:rsid w:val="00BD5409"/>
    <w:rsid w:val="00C11938"/>
    <w:rsid w:val="00C17973"/>
    <w:rsid w:val="00C31311"/>
    <w:rsid w:val="00CA5849"/>
    <w:rsid w:val="00CF2D47"/>
    <w:rsid w:val="00D3573A"/>
    <w:rsid w:val="00D723C0"/>
    <w:rsid w:val="00DA20B9"/>
    <w:rsid w:val="00DC422A"/>
    <w:rsid w:val="00E22C7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3C669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564"/>
    <w:rsid w:val="0005028F"/>
    <w:rsid w:val="00440435"/>
    <w:rsid w:val="00441564"/>
    <w:rsid w:val="00475703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BF05-5483-4722-B6D1-40BF10C8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Sarah Davidson</cp:lastModifiedBy>
  <cp:revision>15</cp:revision>
  <cp:lastPrinted>2017-08-07T14:40:00Z</cp:lastPrinted>
  <dcterms:created xsi:type="dcterms:W3CDTF">2021-01-21T13:39:00Z</dcterms:created>
  <dcterms:modified xsi:type="dcterms:W3CDTF">2022-03-11T12:23:00Z</dcterms:modified>
</cp:coreProperties>
</file>