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C669" w14:textId="77777777" w:rsidR="00931D70" w:rsidRPr="008B4508" w:rsidRDefault="00931D70" w:rsidP="008B4508">
      <w:pPr>
        <w:spacing w:line="276" w:lineRule="auto"/>
        <w:jc w:val="center"/>
        <w:rPr>
          <w:b/>
          <w:sz w:val="28"/>
          <w:szCs w:val="28"/>
        </w:rPr>
      </w:pPr>
      <w:r w:rsidRPr="008B4508">
        <w:rPr>
          <w:b/>
          <w:sz w:val="28"/>
          <w:szCs w:val="28"/>
        </w:rPr>
        <w:t>N. Ireland Cancer Registry</w:t>
      </w:r>
    </w:p>
    <w:p w14:paraId="1793C66A" w14:textId="77777777" w:rsidR="00B14054" w:rsidRPr="008B4508" w:rsidRDefault="00B14054" w:rsidP="008B4508">
      <w:pPr>
        <w:spacing w:line="276" w:lineRule="auto"/>
        <w:jc w:val="center"/>
        <w:rPr>
          <w:b/>
        </w:rPr>
      </w:pPr>
      <w:r w:rsidRPr="008B4508">
        <w:rPr>
          <w:b/>
          <w:sz w:val="28"/>
          <w:szCs w:val="28"/>
        </w:rPr>
        <w:t>Implications of Research for Services</w:t>
      </w:r>
    </w:p>
    <w:p w14:paraId="1793C66B" w14:textId="77777777" w:rsidR="00931D70" w:rsidRDefault="00931D70"/>
    <w:p w14:paraId="1793C66C" w14:textId="77777777" w:rsidR="00931D70" w:rsidRDefault="00931D70"/>
    <w:tbl>
      <w:tblPr>
        <w:tblStyle w:val="TableGrid"/>
        <w:tblW w:w="10739" w:type="dxa"/>
        <w:tblLook w:val="04A0" w:firstRow="1" w:lastRow="0" w:firstColumn="1" w:lastColumn="0" w:noHBand="0" w:noVBand="1"/>
      </w:tblPr>
      <w:tblGrid>
        <w:gridCol w:w="4077"/>
        <w:gridCol w:w="426"/>
        <w:gridCol w:w="6236"/>
      </w:tblGrid>
      <w:tr w:rsidR="00931D70" w14:paraId="1793C670" w14:textId="77777777" w:rsidTr="00A03740">
        <w:tc>
          <w:tcPr>
            <w:tcW w:w="4503" w:type="dxa"/>
            <w:gridSpan w:val="2"/>
            <w:tcBorders>
              <w:top w:val="nil"/>
              <w:left w:val="nil"/>
              <w:bottom w:val="nil"/>
              <w:right w:val="single" w:sz="4" w:space="0" w:color="auto"/>
            </w:tcBorders>
          </w:tcPr>
          <w:p w14:paraId="1793C66D"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6E" w14:textId="77777777"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14:paraId="1793C66F" w14:textId="77777777" w:rsidR="00931D70" w:rsidRPr="00B727B5" w:rsidRDefault="00A03740" w:rsidP="00931D70">
            <w:pPr>
              <w:rPr>
                <w:i/>
              </w:rPr>
            </w:pPr>
            <w:r>
              <w:rPr>
                <w:i/>
              </w:rPr>
              <w:t>(Office use only)</w:t>
            </w:r>
          </w:p>
        </w:tc>
      </w:tr>
      <w:tr w:rsidR="00931D70" w14:paraId="1793C674" w14:textId="77777777" w:rsidTr="00A03740">
        <w:tc>
          <w:tcPr>
            <w:tcW w:w="4503" w:type="dxa"/>
            <w:gridSpan w:val="2"/>
            <w:tcBorders>
              <w:top w:val="nil"/>
              <w:left w:val="nil"/>
              <w:bottom w:val="nil"/>
              <w:right w:val="single" w:sz="4" w:space="0" w:color="auto"/>
            </w:tcBorders>
          </w:tcPr>
          <w:p w14:paraId="1793C671"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2" w14:textId="77777777"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14:paraId="1793C673" w14:textId="77777777" w:rsidR="00931D70" w:rsidRPr="00B727B5" w:rsidRDefault="00A03740" w:rsidP="00931D70">
            <w:r>
              <w:rPr>
                <w:i/>
              </w:rPr>
              <w:t>(Office use only)</w:t>
            </w:r>
          </w:p>
        </w:tc>
      </w:tr>
      <w:tr w:rsidR="00931D70" w14:paraId="1793C678" w14:textId="77777777" w:rsidTr="00A03740">
        <w:tc>
          <w:tcPr>
            <w:tcW w:w="4503" w:type="dxa"/>
            <w:gridSpan w:val="2"/>
            <w:tcBorders>
              <w:top w:val="nil"/>
              <w:left w:val="nil"/>
              <w:bottom w:val="nil"/>
              <w:right w:val="single" w:sz="4" w:space="0" w:color="auto"/>
            </w:tcBorders>
          </w:tcPr>
          <w:p w14:paraId="1793C675" w14:textId="77777777"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14:paraId="1793C676" w14:textId="77777777"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14:paraId="1793C677" w14:textId="77777777" w:rsidR="00931D70" w:rsidRPr="00B727B5" w:rsidRDefault="00A03740" w:rsidP="00A03740">
            <w:r>
              <w:rPr>
                <w:i/>
              </w:rPr>
              <w:t>(Office use only)</w:t>
            </w:r>
          </w:p>
        </w:tc>
      </w:tr>
      <w:tr w:rsidR="00931D70" w14:paraId="1793C67F" w14:textId="77777777" w:rsidTr="00931D70">
        <w:tc>
          <w:tcPr>
            <w:tcW w:w="4077" w:type="dxa"/>
          </w:tcPr>
          <w:p w14:paraId="1793C679" w14:textId="77777777" w:rsidR="00931D70" w:rsidRDefault="00931D70">
            <w:pPr>
              <w:rPr>
                <w:rFonts w:ascii="Calibri" w:hAnsi="Calibri"/>
                <w:b/>
                <w:sz w:val="24"/>
                <w:szCs w:val="24"/>
              </w:rPr>
            </w:pPr>
            <w:r w:rsidRPr="00931D70">
              <w:rPr>
                <w:rFonts w:ascii="Calibri" w:hAnsi="Calibri"/>
                <w:b/>
                <w:sz w:val="24"/>
                <w:szCs w:val="24"/>
              </w:rPr>
              <w:t>Paper Title</w:t>
            </w:r>
          </w:p>
          <w:p w14:paraId="1793C67A" w14:textId="77777777" w:rsidR="00931D70" w:rsidRDefault="00931D70">
            <w:pPr>
              <w:rPr>
                <w:rFonts w:ascii="Calibri" w:hAnsi="Calibri"/>
                <w:b/>
                <w:sz w:val="24"/>
                <w:szCs w:val="24"/>
              </w:rPr>
            </w:pPr>
          </w:p>
          <w:p w14:paraId="1793C67B" w14:textId="77777777" w:rsidR="00931D70" w:rsidRDefault="00931D70">
            <w:pPr>
              <w:rPr>
                <w:rFonts w:ascii="Calibri" w:hAnsi="Calibri"/>
                <w:b/>
                <w:sz w:val="24"/>
                <w:szCs w:val="24"/>
              </w:rPr>
            </w:pPr>
          </w:p>
          <w:p w14:paraId="1793C67C" w14:textId="77777777" w:rsidR="00931D70" w:rsidRDefault="00931D70">
            <w:pPr>
              <w:rPr>
                <w:rFonts w:ascii="Calibri" w:hAnsi="Calibri"/>
                <w:b/>
                <w:sz w:val="24"/>
                <w:szCs w:val="24"/>
              </w:rPr>
            </w:pPr>
          </w:p>
          <w:p w14:paraId="1793C67D" w14:textId="77777777" w:rsidR="00931D70" w:rsidRPr="00931D70" w:rsidRDefault="00931D70">
            <w:pPr>
              <w:rPr>
                <w:rFonts w:ascii="Calibri" w:hAnsi="Calibri"/>
                <w:b/>
                <w:sz w:val="24"/>
                <w:szCs w:val="24"/>
              </w:rPr>
            </w:pPr>
          </w:p>
        </w:tc>
        <w:bookmarkStart w:id="1" w:name="Text1"/>
        <w:tc>
          <w:tcPr>
            <w:tcW w:w="6662" w:type="dxa"/>
            <w:gridSpan w:val="2"/>
          </w:tcPr>
          <w:p w14:paraId="1793C67E" w14:textId="1627D218"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E70989" w:rsidRPr="00E70989">
              <w:rPr>
                <w:sz w:val="24"/>
                <w:szCs w:val="24"/>
              </w:rPr>
              <w:t>Systematic review of the use of translated patient reported outcome measures</w:t>
            </w:r>
            <w:r w:rsidR="00E70989">
              <w:rPr>
                <w:sz w:val="24"/>
                <w:szCs w:val="24"/>
              </w:rPr>
              <w:t xml:space="preserve"> in cancer trials </w:t>
            </w:r>
            <w:r>
              <w:rPr>
                <w:sz w:val="24"/>
                <w:szCs w:val="24"/>
              </w:rPr>
              <w:fldChar w:fldCharType="end"/>
            </w:r>
          </w:p>
        </w:tc>
      </w:tr>
      <w:tr w:rsidR="00931D70" w14:paraId="1793C686" w14:textId="77777777" w:rsidTr="00931D70">
        <w:tc>
          <w:tcPr>
            <w:tcW w:w="4077" w:type="dxa"/>
          </w:tcPr>
          <w:p w14:paraId="1793C680" w14:textId="77777777" w:rsidR="00931D70" w:rsidRDefault="00931D70">
            <w:pPr>
              <w:rPr>
                <w:rFonts w:ascii="Calibri" w:hAnsi="Calibri"/>
                <w:b/>
                <w:sz w:val="24"/>
                <w:szCs w:val="24"/>
              </w:rPr>
            </w:pPr>
            <w:r w:rsidRPr="00931D70">
              <w:rPr>
                <w:rFonts w:ascii="Calibri" w:hAnsi="Calibri"/>
                <w:b/>
                <w:sz w:val="24"/>
                <w:szCs w:val="24"/>
              </w:rPr>
              <w:t>Authors</w:t>
            </w:r>
          </w:p>
          <w:p w14:paraId="1793C681" w14:textId="77777777" w:rsidR="00931D70" w:rsidRDefault="00931D70">
            <w:pPr>
              <w:rPr>
                <w:rFonts w:ascii="Calibri" w:hAnsi="Calibri"/>
                <w:b/>
                <w:sz w:val="24"/>
                <w:szCs w:val="24"/>
              </w:rPr>
            </w:pPr>
          </w:p>
          <w:p w14:paraId="1793C682" w14:textId="77777777" w:rsidR="00931D70" w:rsidRDefault="00931D70">
            <w:pPr>
              <w:rPr>
                <w:rFonts w:ascii="Calibri" w:hAnsi="Calibri"/>
                <w:b/>
                <w:sz w:val="24"/>
                <w:szCs w:val="24"/>
              </w:rPr>
            </w:pPr>
          </w:p>
          <w:p w14:paraId="1793C683" w14:textId="77777777" w:rsidR="00931D70" w:rsidRDefault="00931D70">
            <w:pPr>
              <w:rPr>
                <w:rFonts w:ascii="Calibri" w:hAnsi="Calibri"/>
                <w:b/>
                <w:sz w:val="24"/>
                <w:szCs w:val="24"/>
              </w:rPr>
            </w:pPr>
          </w:p>
          <w:p w14:paraId="1793C684" w14:textId="77777777" w:rsidR="00931D70" w:rsidRPr="00931D70" w:rsidRDefault="00931D70">
            <w:pPr>
              <w:rPr>
                <w:rFonts w:ascii="Calibri" w:hAnsi="Calibri"/>
                <w:b/>
                <w:sz w:val="24"/>
                <w:szCs w:val="24"/>
              </w:rPr>
            </w:pPr>
          </w:p>
        </w:tc>
        <w:tc>
          <w:tcPr>
            <w:tcW w:w="6662" w:type="dxa"/>
            <w:gridSpan w:val="2"/>
          </w:tcPr>
          <w:p w14:paraId="1793C685" w14:textId="1A707D35"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E70989" w:rsidRPr="00E70989">
              <w:rPr>
                <w:sz w:val="24"/>
                <w:szCs w:val="24"/>
              </w:rPr>
              <w:t>A. L. Slade, A. Retzer, K. Ahmed , D. Kyte, T. Keeley , J. Armes</w:t>
            </w:r>
            <w:r w:rsidR="00E70989">
              <w:rPr>
                <w:sz w:val="24"/>
                <w:szCs w:val="24"/>
              </w:rPr>
              <w:t>,</w:t>
            </w:r>
            <w:r w:rsidR="00E70989" w:rsidRPr="00E70989">
              <w:rPr>
                <w:sz w:val="24"/>
                <w:szCs w:val="24"/>
              </w:rPr>
              <w:t xml:space="preserve"> J. M. Brown, L. Calman A. Gavin A. W. Glaser, D. M. Greenfield, A. Lanceley, R. M. Taylor</w:t>
            </w:r>
            <w:r w:rsidR="00E70989">
              <w:rPr>
                <w:sz w:val="24"/>
                <w:szCs w:val="24"/>
              </w:rPr>
              <w:t>,</w:t>
            </w:r>
            <w:r w:rsidR="00E70989" w:rsidRPr="00E70989">
              <w:rPr>
                <w:sz w:val="24"/>
                <w:szCs w:val="24"/>
              </w:rPr>
              <w:t xml:space="preserve"> G. Velikova, G. Turner and M. J. Calvert</w:t>
            </w:r>
            <w:r>
              <w:rPr>
                <w:sz w:val="24"/>
                <w:szCs w:val="24"/>
              </w:rPr>
              <w:fldChar w:fldCharType="end"/>
            </w:r>
          </w:p>
        </w:tc>
      </w:tr>
      <w:tr w:rsidR="00931D70" w14:paraId="1793C68A" w14:textId="77777777" w:rsidTr="00931D70">
        <w:tc>
          <w:tcPr>
            <w:tcW w:w="4077" w:type="dxa"/>
          </w:tcPr>
          <w:p w14:paraId="1793C687" w14:textId="77777777" w:rsidR="00931D70" w:rsidRDefault="00931D70">
            <w:pPr>
              <w:rPr>
                <w:rFonts w:ascii="Calibri" w:hAnsi="Calibri"/>
                <w:b/>
                <w:sz w:val="24"/>
                <w:szCs w:val="24"/>
              </w:rPr>
            </w:pPr>
            <w:r w:rsidRPr="00931D70">
              <w:rPr>
                <w:rFonts w:ascii="Calibri" w:hAnsi="Calibri"/>
                <w:b/>
                <w:sz w:val="24"/>
                <w:szCs w:val="24"/>
              </w:rPr>
              <w:t>Journal</w:t>
            </w:r>
          </w:p>
          <w:p w14:paraId="1793C688" w14:textId="77777777" w:rsidR="00931D70" w:rsidRPr="00931D70" w:rsidRDefault="00931D70">
            <w:pPr>
              <w:rPr>
                <w:rFonts w:ascii="Calibri" w:hAnsi="Calibri"/>
                <w:b/>
                <w:sz w:val="24"/>
                <w:szCs w:val="24"/>
              </w:rPr>
            </w:pPr>
          </w:p>
        </w:tc>
        <w:tc>
          <w:tcPr>
            <w:tcW w:w="6662" w:type="dxa"/>
            <w:gridSpan w:val="2"/>
          </w:tcPr>
          <w:p w14:paraId="1793C689" w14:textId="1145D264" w:rsidR="00931D70" w:rsidRDefault="000F0F6A"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BF0703">
              <w:rPr>
                <w:sz w:val="24"/>
                <w:szCs w:val="24"/>
              </w:rPr>
              <w:t>BMC Trials</w:t>
            </w:r>
            <w:r w:rsidR="005673DF" w:rsidRPr="005673DF">
              <w:rPr>
                <w:sz w:val="24"/>
                <w:szCs w:val="24"/>
              </w:rPr>
              <w:t xml:space="preserve"> </w:t>
            </w:r>
            <w:r>
              <w:rPr>
                <w:sz w:val="24"/>
                <w:szCs w:val="24"/>
              </w:rPr>
              <w:fldChar w:fldCharType="end"/>
            </w:r>
          </w:p>
        </w:tc>
      </w:tr>
      <w:tr w:rsidR="00510DF2" w14:paraId="1793C68E" w14:textId="77777777" w:rsidTr="00931D70">
        <w:tc>
          <w:tcPr>
            <w:tcW w:w="4077" w:type="dxa"/>
          </w:tcPr>
          <w:p w14:paraId="1793C68B" w14:textId="77777777"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14:paraId="1793C68C" w14:textId="299B76CA"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AB33DD" w:rsidRPr="00AB33DD">
              <w:rPr>
                <w:sz w:val="24"/>
                <w:szCs w:val="24"/>
              </w:rPr>
              <w:t>https://doi.org/10.1186/s13063-021-05255-z</w:t>
            </w:r>
            <w:r w:rsidRPr="00924F47">
              <w:rPr>
                <w:sz w:val="24"/>
                <w:szCs w:val="24"/>
              </w:rPr>
              <w:fldChar w:fldCharType="end"/>
            </w:r>
          </w:p>
          <w:p w14:paraId="1793C68D" w14:textId="77777777" w:rsidR="00510DF2" w:rsidRPr="00924F47" w:rsidRDefault="00510DF2" w:rsidP="00F53EBE">
            <w:pPr>
              <w:rPr>
                <w:sz w:val="24"/>
                <w:szCs w:val="24"/>
              </w:rPr>
            </w:pPr>
          </w:p>
        </w:tc>
      </w:tr>
      <w:tr w:rsidR="00510DF2" w14:paraId="1793C693" w14:textId="77777777" w:rsidTr="00931D70">
        <w:tc>
          <w:tcPr>
            <w:tcW w:w="4077" w:type="dxa"/>
          </w:tcPr>
          <w:p w14:paraId="1793C68F" w14:textId="77777777" w:rsidR="00510DF2" w:rsidRDefault="00510DF2">
            <w:pPr>
              <w:rPr>
                <w:rFonts w:ascii="Calibri" w:hAnsi="Calibri"/>
                <w:b/>
                <w:sz w:val="24"/>
                <w:szCs w:val="24"/>
              </w:rPr>
            </w:pPr>
            <w:r w:rsidRPr="00931D70">
              <w:rPr>
                <w:rFonts w:ascii="Calibri" w:hAnsi="Calibri"/>
                <w:b/>
                <w:sz w:val="24"/>
                <w:szCs w:val="24"/>
              </w:rPr>
              <w:t>Funders</w:t>
            </w:r>
          </w:p>
          <w:p w14:paraId="1793C690" w14:textId="77777777" w:rsidR="00510DF2" w:rsidRDefault="00510DF2">
            <w:pPr>
              <w:rPr>
                <w:rFonts w:ascii="Calibri" w:hAnsi="Calibri"/>
                <w:b/>
                <w:sz w:val="24"/>
                <w:szCs w:val="24"/>
              </w:rPr>
            </w:pPr>
          </w:p>
          <w:p w14:paraId="1793C691" w14:textId="77777777" w:rsidR="00510DF2" w:rsidRPr="00931D70" w:rsidRDefault="00510DF2">
            <w:pPr>
              <w:rPr>
                <w:rFonts w:ascii="Calibri" w:hAnsi="Calibri"/>
                <w:b/>
                <w:sz w:val="24"/>
                <w:szCs w:val="24"/>
              </w:rPr>
            </w:pPr>
          </w:p>
        </w:tc>
        <w:tc>
          <w:tcPr>
            <w:tcW w:w="6662" w:type="dxa"/>
            <w:gridSpan w:val="2"/>
          </w:tcPr>
          <w:p w14:paraId="1793C692" w14:textId="2139760E" w:rsidR="00510DF2" w:rsidRDefault="00510DF2" w:rsidP="00F36E5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C75EEE" w:rsidRPr="00C75EEE">
              <w:rPr>
                <w:sz w:val="24"/>
                <w:szCs w:val="24"/>
              </w:rPr>
              <w:t>National Institute for Health Research, Clinical Research Network funding (Grant number RHJK20013), and Macmillan Cancer Support (Grant number 5592105)</w:t>
            </w:r>
            <w:r>
              <w:rPr>
                <w:sz w:val="24"/>
                <w:szCs w:val="24"/>
              </w:rPr>
              <w:fldChar w:fldCharType="end"/>
            </w:r>
          </w:p>
        </w:tc>
      </w:tr>
      <w:tr w:rsidR="00510DF2" w14:paraId="1793C697" w14:textId="77777777" w:rsidTr="00931D70">
        <w:tc>
          <w:tcPr>
            <w:tcW w:w="4077" w:type="dxa"/>
          </w:tcPr>
          <w:p w14:paraId="1793C694" w14:textId="77777777" w:rsidR="00510DF2" w:rsidRDefault="00510DF2">
            <w:pPr>
              <w:rPr>
                <w:rFonts w:ascii="Calibri" w:hAnsi="Calibri"/>
                <w:b/>
                <w:sz w:val="24"/>
                <w:szCs w:val="24"/>
              </w:rPr>
            </w:pPr>
            <w:r w:rsidRPr="00931D70">
              <w:rPr>
                <w:rFonts w:ascii="Calibri" w:hAnsi="Calibri"/>
                <w:b/>
                <w:sz w:val="24"/>
                <w:szCs w:val="24"/>
              </w:rPr>
              <w:t>Full paper available online</w:t>
            </w:r>
          </w:p>
          <w:p w14:paraId="1793C695" w14:textId="77777777" w:rsidR="00510DF2" w:rsidRPr="00931D70" w:rsidRDefault="00510DF2">
            <w:pPr>
              <w:rPr>
                <w:rFonts w:ascii="Calibri" w:hAnsi="Calibri"/>
                <w:b/>
                <w:sz w:val="24"/>
                <w:szCs w:val="24"/>
              </w:rPr>
            </w:pPr>
          </w:p>
        </w:tc>
        <w:tc>
          <w:tcPr>
            <w:tcW w:w="6662" w:type="dxa"/>
            <w:gridSpan w:val="2"/>
          </w:tcPr>
          <w:p w14:paraId="1793C696" w14:textId="7D1C71F0"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0A46F8">
              <w:rPr>
                <w:sz w:val="24"/>
                <w:szCs w:val="24"/>
              </w:rPr>
            </w:r>
            <w:r w:rsidR="000A46F8">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0A46F8">
              <w:rPr>
                <w:sz w:val="24"/>
                <w:szCs w:val="24"/>
              </w:rPr>
            </w:r>
            <w:r w:rsidR="000A46F8">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0A46F8">
              <w:rPr>
                <w:sz w:val="24"/>
                <w:szCs w:val="24"/>
              </w:rPr>
            </w:r>
            <w:r w:rsidR="000A46F8">
              <w:rPr>
                <w:sz w:val="24"/>
                <w:szCs w:val="24"/>
              </w:rPr>
              <w:fldChar w:fldCharType="separate"/>
            </w:r>
            <w:r w:rsidRPr="00924F47">
              <w:rPr>
                <w:sz w:val="24"/>
                <w:szCs w:val="24"/>
              </w:rPr>
              <w:fldChar w:fldCharType="end"/>
            </w:r>
          </w:p>
        </w:tc>
      </w:tr>
      <w:tr w:rsidR="00510DF2" w14:paraId="1793C6A0" w14:textId="77777777" w:rsidTr="00931D70">
        <w:tc>
          <w:tcPr>
            <w:tcW w:w="4077" w:type="dxa"/>
          </w:tcPr>
          <w:p w14:paraId="1793C698" w14:textId="77777777" w:rsidR="00510DF2" w:rsidRDefault="00510DF2">
            <w:pPr>
              <w:rPr>
                <w:rFonts w:ascii="Calibri" w:hAnsi="Calibri"/>
                <w:b/>
                <w:sz w:val="24"/>
                <w:szCs w:val="24"/>
              </w:rPr>
            </w:pPr>
            <w:r w:rsidRPr="00931D70">
              <w:rPr>
                <w:rFonts w:ascii="Calibri" w:hAnsi="Calibri"/>
                <w:b/>
                <w:sz w:val="24"/>
                <w:szCs w:val="24"/>
              </w:rPr>
              <w:t>Conclusion</w:t>
            </w:r>
          </w:p>
          <w:p w14:paraId="1793C699" w14:textId="77777777" w:rsidR="00510DF2" w:rsidRDefault="00510DF2">
            <w:pPr>
              <w:rPr>
                <w:rFonts w:ascii="Calibri" w:hAnsi="Calibri"/>
                <w:b/>
                <w:sz w:val="24"/>
                <w:szCs w:val="24"/>
              </w:rPr>
            </w:pPr>
          </w:p>
          <w:p w14:paraId="1793C69A" w14:textId="77777777" w:rsidR="00510DF2" w:rsidRDefault="00510DF2">
            <w:pPr>
              <w:rPr>
                <w:rFonts w:ascii="Calibri" w:hAnsi="Calibri"/>
                <w:b/>
                <w:sz w:val="24"/>
                <w:szCs w:val="24"/>
              </w:rPr>
            </w:pPr>
          </w:p>
          <w:p w14:paraId="1793C69B" w14:textId="77777777" w:rsidR="00510DF2" w:rsidRDefault="00510DF2">
            <w:pPr>
              <w:rPr>
                <w:rFonts w:ascii="Calibri" w:hAnsi="Calibri"/>
                <w:b/>
                <w:sz w:val="24"/>
                <w:szCs w:val="24"/>
              </w:rPr>
            </w:pPr>
          </w:p>
          <w:p w14:paraId="1793C69C" w14:textId="77777777" w:rsidR="00510DF2" w:rsidRDefault="00510DF2">
            <w:pPr>
              <w:rPr>
                <w:rFonts w:ascii="Calibri" w:hAnsi="Calibri"/>
                <w:b/>
                <w:sz w:val="24"/>
                <w:szCs w:val="24"/>
              </w:rPr>
            </w:pPr>
          </w:p>
          <w:p w14:paraId="1793C69D" w14:textId="77777777" w:rsidR="00510DF2" w:rsidRDefault="00510DF2">
            <w:pPr>
              <w:rPr>
                <w:rFonts w:ascii="Calibri" w:hAnsi="Calibri"/>
                <w:b/>
                <w:sz w:val="24"/>
                <w:szCs w:val="24"/>
              </w:rPr>
            </w:pPr>
          </w:p>
          <w:p w14:paraId="1793C69E" w14:textId="77777777" w:rsidR="00510DF2" w:rsidRPr="00931D70" w:rsidRDefault="00510DF2">
            <w:pPr>
              <w:rPr>
                <w:rFonts w:ascii="Calibri" w:hAnsi="Calibri"/>
                <w:b/>
                <w:sz w:val="24"/>
                <w:szCs w:val="24"/>
              </w:rPr>
            </w:pPr>
          </w:p>
        </w:tc>
        <w:tc>
          <w:tcPr>
            <w:tcW w:w="6662" w:type="dxa"/>
            <w:gridSpan w:val="2"/>
          </w:tcPr>
          <w:p w14:paraId="6694E44D" w14:textId="77777777" w:rsidR="00F4034F" w:rsidRDefault="00510DF2" w:rsidP="00F36E59">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F4034F" w:rsidRPr="00F4034F">
              <w:rPr>
                <w:sz w:val="24"/>
                <w:szCs w:val="24"/>
              </w:rPr>
              <w:t>Patient-reported outcomes (PROs) are used in clinical trials to assess the effectiveness and tolerability of interventions. Inclusion of participants from different ethnic backgrounds is essential for generalisability of cancer trial results. PRO data collection should include appropriately translated patient-reported outcome measures (PROMs) to minimise missing data and sample attrition.</w:t>
            </w:r>
          </w:p>
          <w:p w14:paraId="1793C69F" w14:textId="7A16E9CD" w:rsidR="00510DF2" w:rsidRDefault="00F4034F" w:rsidP="00F36E59">
            <w:r w:rsidRPr="00F4034F">
              <w:rPr>
                <w:sz w:val="24"/>
                <w:szCs w:val="24"/>
              </w:rPr>
              <w:t xml:space="preserve">Eighty-four trials met the inclusion criteria, only 14 (17%) (n = 4754) reported ethnic group data, and ethnic group recruitment was low, 611 (13%). Although 8 (57%) studies were multi-centred and multi-national, none reported using translated PROMs, although available for 7 (88%) of the studies. Interviews with 44 international stakeholders identified </w:t>
            </w:r>
            <w:proofErr w:type="gramStart"/>
            <w:r w:rsidRPr="00F4034F">
              <w:rPr>
                <w:sz w:val="24"/>
                <w:szCs w:val="24"/>
              </w:rPr>
              <w:t>a number of</w:t>
            </w:r>
            <w:proofErr w:type="gramEnd"/>
            <w:r w:rsidRPr="00F4034F">
              <w:rPr>
                <w:sz w:val="24"/>
                <w:szCs w:val="24"/>
              </w:rPr>
              <w:t xml:space="preserve"> perceived barriers to ethnically diverse recruitment including diverse participant engagement, relevance of ethnicity to research question, prominence of PROs, and need to minimise investigator burden. Stakeholders had differing opinions on the use of translated PROMs, the impact of trial designs, and recruitment strategies on diverse recruitment. Facilitators of inclusive research were </w:t>
            </w:r>
            <w:proofErr w:type="gramStart"/>
            <w:r w:rsidRPr="00F4034F">
              <w:rPr>
                <w:sz w:val="24"/>
                <w:szCs w:val="24"/>
              </w:rPr>
              <w:t>described</w:t>
            </w:r>
            <w:proofErr w:type="gramEnd"/>
            <w:r w:rsidRPr="00F4034F">
              <w:rPr>
                <w:sz w:val="24"/>
                <w:szCs w:val="24"/>
              </w:rPr>
              <w:t xml:space="preserve"> and examples of good practice identified.</w:t>
            </w:r>
            <w:r w:rsidR="00510DF2">
              <w:rPr>
                <w:sz w:val="24"/>
                <w:szCs w:val="24"/>
              </w:rPr>
              <w:fldChar w:fldCharType="end"/>
            </w:r>
          </w:p>
        </w:tc>
      </w:tr>
      <w:tr w:rsidR="00510DF2" w14:paraId="1793C6A8" w14:textId="77777777" w:rsidTr="00931D70">
        <w:tc>
          <w:tcPr>
            <w:tcW w:w="4077" w:type="dxa"/>
          </w:tcPr>
          <w:p w14:paraId="1793C6A1" w14:textId="77777777" w:rsidR="00510DF2" w:rsidRDefault="00510DF2">
            <w:pPr>
              <w:rPr>
                <w:rFonts w:ascii="Calibri" w:hAnsi="Calibri"/>
                <w:b/>
                <w:sz w:val="24"/>
                <w:szCs w:val="24"/>
              </w:rPr>
            </w:pPr>
            <w:r w:rsidRPr="00931D70">
              <w:rPr>
                <w:rFonts w:ascii="Calibri" w:hAnsi="Calibri"/>
                <w:b/>
                <w:sz w:val="24"/>
                <w:szCs w:val="24"/>
              </w:rPr>
              <w:t>What this means for the service</w:t>
            </w:r>
          </w:p>
          <w:p w14:paraId="1793C6A2" w14:textId="77777777" w:rsidR="00510DF2" w:rsidRDefault="00510DF2">
            <w:pPr>
              <w:rPr>
                <w:rFonts w:ascii="Calibri" w:hAnsi="Calibri"/>
                <w:b/>
                <w:sz w:val="24"/>
                <w:szCs w:val="24"/>
              </w:rPr>
            </w:pPr>
          </w:p>
          <w:p w14:paraId="1793C6A3" w14:textId="77777777" w:rsidR="00510DF2" w:rsidRDefault="00510DF2">
            <w:pPr>
              <w:rPr>
                <w:rFonts w:ascii="Calibri" w:hAnsi="Calibri"/>
                <w:b/>
                <w:sz w:val="24"/>
                <w:szCs w:val="24"/>
              </w:rPr>
            </w:pPr>
          </w:p>
          <w:p w14:paraId="1793C6A4" w14:textId="77777777" w:rsidR="00510DF2" w:rsidRDefault="00510DF2">
            <w:pPr>
              <w:rPr>
                <w:rFonts w:ascii="Calibri" w:hAnsi="Calibri"/>
                <w:b/>
                <w:sz w:val="24"/>
                <w:szCs w:val="24"/>
              </w:rPr>
            </w:pPr>
          </w:p>
          <w:p w14:paraId="1793C6A5" w14:textId="77777777" w:rsidR="00510DF2" w:rsidRDefault="00510DF2">
            <w:pPr>
              <w:rPr>
                <w:rFonts w:ascii="Calibri" w:hAnsi="Calibri"/>
                <w:b/>
                <w:sz w:val="24"/>
                <w:szCs w:val="24"/>
              </w:rPr>
            </w:pPr>
          </w:p>
          <w:p w14:paraId="1793C6A6" w14:textId="77777777" w:rsidR="00510DF2" w:rsidRPr="00931D70" w:rsidRDefault="00510DF2">
            <w:pPr>
              <w:rPr>
                <w:rFonts w:ascii="Calibri" w:hAnsi="Calibri"/>
                <w:b/>
                <w:sz w:val="24"/>
                <w:szCs w:val="24"/>
              </w:rPr>
            </w:pPr>
          </w:p>
        </w:tc>
        <w:tc>
          <w:tcPr>
            <w:tcW w:w="6662" w:type="dxa"/>
            <w:gridSpan w:val="2"/>
          </w:tcPr>
          <w:p w14:paraId="1793C6A7" w14:textId="29D4041F" w:rsidR="00510DF2" w:rsidRDefault="00510DF2" w:rsidP="00F36E59">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0A46F8" w:rsidRPr="000A46F8">
              <w:rPr>
                <w:sz w:val="24"/>
                <w:szCs w:val="24"/>
              </w:rPr>
              <w:t xml:space="preserve">Greater transparency is required when PROs are used as primary or secondary outcomes in clinical trials. Protocols </w:t>
            </w:r>
            <w:r w:rsidR="000A46F8" w:rsidRPr="000A46F8">
              <w:rPr>
                <w:sz w:val="24"/>
                <w:szCs w:val="24"/>
              </w:rPr>
              <w:lastRenderedPageBreak/>
              <w:t>and publications should demonstrate that recruitment was accessible to diverse populations and facilitated by trial design, recruitment strategies, and appropriate PROM usage. The use of translated PROMs should be made explicit when used in cancer clinical trials</w:t>
            </w:r>
            <w:r>
              <w:rPr>
                <w:sz w:val="24"/>
                <w:szCs w:val="24"/>
              </w:rPr>
              <w:fldChar w:fldCharType="end"/>
            </w:r>
          </w:p>
        </w:tc>
      </w:tr>
    </w:tbl>
    <w:p w14:paraId="1793C6A9" w14:textId="77777777" w:rsidR="00931D70" w:rsidRDefault="00931D70"/>
    <w:p w14:paraId="1793C6AA" w14:textId="77777777" w:rsidR="000C66D3" w:rsidRDefault="000C66D3"/>
    <w:p w14:paraId="1793C6AB" w14:textId="77777777" w:rsidR="000C66D3" w:rsidRDefault="000C66D3"/>
    <w:p w14:paraId="1793C6AC" w14:textId="77777777" w:rsidR="000C66D3" w:rsidRDefault="000C66D3"/>
    <w:p w14:paraId="1793C6AD" w14:textId="77777777"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25D2" w14:textId="77777777" w:rsidR="00ED6106" w:rsidRDefault="00ED6106" w:rsidP="00DC422A">
      <w:r>
        <w:separator/>
      </w:r>
    </w:p>
  </w:endnote>
  <w:endnote w:type="continuationSeparator" w:id="0">
    <w:p w14:paraId="392C9449" w14:textId="77777777" w:rsidR="00ED6106" w:rsidRDefault="00ED6106"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36115"/>
      <w:docPartObj>
        <w:docPartGallery w:val="Page Numbers (Bottom of Page)"/>
        <w:docPartUnique/>
      </w:docPartObj>
    </w:sdtPr>
    <w:sdtEndPr>
      <w:rPr>
        <w:noProof/>
      </w:rPr>
    </w:sdtEndPr>
    <w:sdtContent>
      <w:p w14:paraId="1793C6B2" w14:textId="77777777" w:rsidR="00DC422A" w:rsidRDefault="00DC422A">
        <w:pPr>
          <w:pStyle w:val="Footer"/>
          <w:jc w:val="center"/>
        </w:pPr>
        <w:r>
          <w:fldChar w:fldCharType="begin"/>
        </w:r>
        <w:r>
          <w:instrText xml:space="preserve"> PAGE   \* MERGEFORMAT </w:instrText>
        </w:r>
        <w:r>
          <w:fldChar w:fldCharType="separate"/>
        </w:r>
        <w:r w:rsidR="001D32A4">
          <w:rPr>
            <w:noProof/>
          </w:rPr>
          <w:t>1</w:t>
        </w:r>
        <w:r>
          <w:rPr>
            <w:noProof/>
          </w:rPr>
          <w:fldChar w:fldCharType="end"/>
        </w:r>
      </w:p>
    </w:sdtContent>
  </w:sdt>
  <w:p w14:paraId="1793C6B3" w14:textId="77777777" w:rsidR="00DC422A" w:rsidRDefault="00DC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C070" w14:textId="77777777" w:rsidR="00ED6106" w:rsidRDefault="00ED6106" w:rsidP="00DC422A">
      <w:r>
        <w:separator/>
      </w:r>
    </w:p>
  </w:footnote>
  <w:footnote w:type="continuationSeparator" w:id="0">
    <w:p w14:paraId="28F617E7" w14:textId="77777777" w:rsidR="00ED6106" w:rsidRDefault="00ED6106" w:rsidP="00DC4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54"/>
    <w:rsid w:val="0008375D"/>
    <w:rsid w:val="000A46F8"/>
    <w:rsid w:val="000C66D3"/>
    <w:rsid w:val="000F0F6A"/>
    <w:rsid w:val="0014471D"/>
    <w:rsid w:val="00185A00"/>
    <w:rsid w:val="001B52DA"/>
    <w:rsid w:val="001C26B5"/>
    <w:rsid w:val="001D32A4"/>
    <w:rsid w:val="00246C8D"/>
    <w:rsid w:val="002B5137"/>
    <w:rsid w:val="00323FC6"/>
    <w:rsid w:val="00380790"/>
    <w:rsid w:val="00394AA9"/>
    <w:rsid w:val="004145C2"/>
    <w:rsid w:val="004410A3"/>
    <w:rsid w:val="00497A03"/>
    <w:rsid w:val="004B7997"/>
    <w:rsid w:val="00510DF2"/>
    <w:rsid w:val="0051356F"/>
    <w:rsid w:val="005673DF"/>
    <w:rsid w:val="005940DE"/>
    <w:rsid w:val="005A0503"/>
    <w:rsid w:val="00640D53"/>
    <w:rsid w:val="006F4C44"/>
    <w:rsid w:val="007228D7"/>
    <w:rsid w:val="00797FB4"/>
    <w:rsid w:val="007A2BF5"/>
    <w:rsid w:val="00810F7F"/>
    <w:rsid w:val="0083263E"/>
    <w:rsid w:val="00887262"/>
    <w:rsid w:val="008B4508"/>
    <w:rsid w:val="00904F69"/>
    <w:rsid w:val="00931D70"/>
    <w:rsid w:val="00986F65"/>
    <w:rsid w:val="00A03740"/>
    <w:rsid w:val="00A44386"/>
    <w:rsid w:val="00AB33DD"/>
    <w:rsid w:val="00B14054"/>
    <w:rsid w:val="00BB20DC"/>
    <w:rsid w:val="00BF0703"/>
    <w:rsid w:val="00C11938"/>
    <w:rsid w:val="00C17973"/>
    <w:rsid w:val="00C75EEE"/>
    <w:rsid w:val="00C87A50"/>
    <w:rsid w:val="00CF2D47"/>
    <w:rsid w:val="00D723C0"/>
    <w:rsid w:val="00DA20B9"/>
    <w:rsid w:val="00DC422A"/>
    <w:rsid w:val="00E22C7D"/>
    <w:rsid w:val="00E70989"/>
    <w:rsid w:val="00ED6106"/>
    <w:rsid w:val="00F36E59"/>
    <w:rsid w:val="00F4034F"/>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93C669"/>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564"/>
    <w:rsid w:val="0005028F"/>
    <w:rsid w:val="004030BA"/>
    <w:rsid w:val="00441564"/>
    <w:rsid w:val="00475703"/>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BF05-5483-4722-B6D1-40BF10C8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Sarah Davidson</cp:lastModifiedBy>
  <cp:revision>9</cp:revision>
  <cp:lastPrinted>2017-08-07T14:40:00Z</cp:lastPrinted>
  <dcterms:created xsi:type="dcterms:W3CDTF">2021-06-10T10:25:00Z</dcterms:created>
  <dcterms:modified xsi:type="dcterms:W3CDTF">2022-03-11T12:30:00Z</dcterms:modified>
</cp:coreProperties>
</file>