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1" w:type="dxa"/>
        <w:tblLayout w:type="fixed"/>
        <w:tblCellMar>
          <w:left w:w="0" w:type="dxa"/>
          <w:right w:w="0" w:type="dxa"/>
        </w:tblCellMar>
        <w:tblLook w:val="0000" w:firstRow="0" w:lastRow="0" w:firstColumn="0" w:lastColumn="0" w:noHBand="0" w:noVBand="0"/>
      </w:tblPr>
      <w:tblGrid>
        <w:gridCol w:w="7088"/>
        <w:gridCol w:w="2693"/>
      </w:tblGrid>
      <w:tr w:rsidR="005B6DB7" w:rsidRPr="008A7F6D" w:rsidTr="002B5471">
        <w:trPr>
          <w:trHeight w:val="1841"/>
        </w:trPr>
        <w:tc>
          <w:tcPr>
            <w:tcW w:w="7088" w:type="dxa"/>
          </w:tcPr>
          <w:p w:rsidR="005B6DB7" w:rsidRPr="008A7F6D" w:rsidRDefault="005B6DB7" w:rsidP="002B5471">
            <w:pPr>
              <w:pStyle w:val="Heading1"/>
            </w:pPr>
            <w:r>
              <w:rPr>
                <w:noProof/>
                <w:lang w:val="en-US"/>
              </w:rPr>
              <w:drawing>
                <wp:inline distT="0" distB="0" distL="0" distR="0" wp14:anchorId="1A72E198" wp14:editId="44454D93">
                  <wp:extent cx="2867025" cy="10343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05719" cy="1048293"/>
                          </a:xfrm>
                          <a:prstGeom prst="rect">
                            <a:avLst/>
                          </a:prstGeom>
                        </pic:spPr>
                      </pic:pic>
                    </a:graphicData>
                  </a:graphic>
                </wp:inline>
              </w:drawing>
            </w:r>
          </w:p>
        </w:tc>
        <w:tc>
          <w:tcPr>
            <w:tcW w:w="2693" w:type="dxa"/>
          </w:tcPr>
          <w:p w:rsidR="005B6DB7" w:rsidRPr="00211F61" w:rsidRDefault="005B6DB7" w:rsidP="002B5471">
            <w:pPr>
              <w:pStyle w:val="DeptSchoolHeader"/>
            </w:pPr>
            <w:r w:rsidRPr="00211F61">
              <w:t>School of Law</w:t>
            </w:r>
          </w:p>
          <w:p w:rsidR="005B6DB7" w:rsidRPr="008A7F6D" w:rsidRDefault="005B6DB7" w:rsidP="002B5471">
            <w:pPr>
              <w:pStyle w:val="Heading1"/>
              <w:ind w:left="131"/>
            </w:pPr>
            <w:r>
              <w:t xml:space="preserve"> </w:t>
            </w:r>
          </w:p>
        </w:tc>
      </w:tr>
    </w:tbl>
    <w:p w:rsidR="005B6DB7" w:rsidRDefault="005B6DB7" w:rsidP="002B7251">
      <w:pPr>
        <w:spacing w:line="240" w:lineRule="auto"/>
        <w:jc w:val="center"/>
        <w:rPr>
          <w:rFonts w:ascii="Arial" w:hAnsi="Arial" w:cs="Arial"/>
          <w:b/>
        </w:rPr>
      </w:pPr>
    </w:p>
    <w:p w:rsidR="002B45AC" w:rsidRDefault="002B45AC" w:rsidP="002B7251">
      <w:pPr>
        <w:spacing w:line="240" w:lineRule="auto"/>
        <w:jc w:val="center"/>
        <w:rPr>
          <w:rFonts w:ascii="Arial" w:hAnsi="Arial" w:cs="Arial"/>
          <w:b/>
        </w:rPr>
      </w:pPr>
    </w:p>
    <w:p w:rsidR="002B45AC" w:rsidRDefault="002B45AC" w:rsidP="002B7251">
      <w:pPr>
        <w:spacing w:line="240" w:lineRule="auto"/>
        <w:jc w:val="center"/>
        <w:rPr>
          <w:rFonts w:ascii="Arial" w:hAnsi="Arial" w:cs="Arial"/>
          <w:b/>
        </w:rPr>
      </w:pPr>
    </w:p>
    <w:p w:rsidR="009A56C6" w:rsidRDefault="009A56C6" w:rsidP="002B7251">
      <w:pPr>
        <w:spacing w:line="240" w:lineRule="auto"/>
        <w:jc w:val="center"/>
        <w:rPr>
          <w:rFonts w:ascii="Arial" w:hAnsi="Arial" w:cs="Arial"/>
          <w:b/>
        </w:rPr>
      </w:pPr>
      <w:r>
        <w:rPr>
          <w:rFonts w:ascii="Arial" w:hAnsi="Arial" w:cs="Arial"/>
          <w:b/>
        </w:rPr>
        <w:t>QUB BREXIT PhD RESEARCH STUDENTSHIP</w:t>
      </w:r>
    </w:p>
    <w:p w:rsidR="009A56C6" w:rsidRPr="009A56C6" w:rsidRDefault="009A56C6" w:rsidP="00E04082">
      <w:pPr>
        <w:spacing w:line="240" w:lineRule="auto"/>
        <w:jc w:val="both"/>
        <w:rPr>
          <w:rFonts w:ascii="Arial" w:hAnsi="Arial" w:cs="Arial"/>
          <w:b/>
        </w:rPr>
      </w:pPr>
    </w:p>
    <w:p w:rsidR="00311FE9" w:rsidRPr="00311FE9" w:rsidRDefault="00311FE9" w:rsidP="00E04082">
      <w:pPr>
        <w:spacing w:line="240" w:lineRule="auto"/>
        <w:jc w:val="both"/>
        <w:rPr>
          <w:rFonts w:ascii="Arial" w:hAnsi="Arial" w:cs="Arial"/>
          <w:i/>
          <w:iCs/>
        </w:rPr>
      </w:pPr>
      <w:r>
        <w:rPr>
          <w:rFonts w:ascii="Arial" w:hAnsi="Arial" w:cs="Arial"/>
        </w:rPr>
        <w:t>The School of Law is delighted to announce a PhD studentship, funded by t</w:t>
      </w:r>
      <w:r w:rsidR="009A56C6" w:rsidRPr="009A56C6">
        <w:rPr>
          <w:rFonts w:ascii="Arial" w:hAnsi="Arial" w:cs="Arial"/>
        </w:rPr>
        <w:t>he D</w:t>
      </w:r>
      <w:r>
        <w:rPr>
          <w:rFonts w:ascii="Arial" w:hAnsi="Arial" w:cs="Arial"/>
        </w:rPr>
        <w:t>epartment for the Economy (</w:t>
      </w:r>
      <w:proofErr w:type="spellStart"/>
      <w:r>
        <w:rPr>
          <w:rFonts w:ascii="Arial" w:hAnsi="Arial" w:cs="Arial"/>
        </w:rPr>
        <w:t>DfE</w:t>
      </w:r>
      <w:proofErr w:type="spellEnd"/>
      <w:r>
        <w:rPr>
          <w:rFonts w:ascii="Arial" w:hAnsi="Arial" w:cs="Arial"/>
        </w:rPr>
        <w:t xml:space="preserve">). </w:t>
      </w:r>
      <w:r w:rsidR="009A56C6" w:rsidRPr="009A56C6">
        <w:rPr>
          <w:rFonts w:ascii="Arial" w:hAnsi="Arial" w:cs="Arial"/>
        </w:rPr>
        <w:t>The doctoral research will be focused on the legal implications of Northern Ireland’s hybrid status within both the EU and UK internal markets and external trade policies.</w:t>
      </w:r>
    </w:p>
    <w:p w:rsidR="00311FE9" w:rsidRPr="00311FE9" w:rsidRDefault="00311FE9" w:rsidP="00E04082">
      <w:pPr>
        <w:spacing w:line="240" w:lineRule="auto"/>
        <w:jc w:val="both"/>
        <w:rPr>
          <w:rFonts w:ascii="Arial" w:hAnsi="Arial" w:cs="Arial"/>
          <w:b/>
        </w:rPr>
      </w:pPr>
      <w:r w:rsidRPr="00311FE9">
        <w:rPr>
          <w:rFonts w:ascii="Arial" w:hAnsi="Arial" w:cs="Arial"/>
          <w:b/>
        </w:rPr>
        <w:t>WHAT THE STUDENTSHIP WILL COVER:</w:t>
      </w:r>
    </w:p>
    <w:p w:rsidR="009A56C6" w:rsidRPr="00311FE9" w:rsidRDefault="009A56C6" w:rsidP="00311FE9">
      <w:pPr>
        <w:pStyle w:val="ListParagraph"/>
        <w:numPr>
          <w:ilvl w:val="0"/>
          <w:numId w:val="2"/>
        </w:numPr>
        <w:spacing w:line="240" w:lineRule="auto"/>
        <w:jc w:val="both"/>
        <w:rPr>
          <w:rFonts w:ascii="Arial" w:hAnsi="Arial" w:cs="Arial"/>
        </w:rPr>
      </w:pPr>
      <w:r w:rsidRPr="00311FE9">
        <w:rPr>
          <w:rFonts w:ascii="Arial" w:hAnsi="Arial" w:cs="Arial"/>
        </w:rPr>
        <w:t>The funded studentship will be £21,000 per year to cover tuition fees and maintenance costs.</w:t>
      </w:r>
      <w:r w:rsidR="00E04082" w:rsidRPr="00311FE9">
        <w:rPr>
          <w:rFonts w:ascii="Arial" w:hAnsi="Arial" w:cs="Arial"/>
        </w:rPr>
        <w:t xml:space="preserve">  </w:t>
      </w:r>
    </w:p>
    <w:p w:rsidR="00E04082" w:rsidRDefault="00E04082" w:rsidP="00E04082">
      <w:pPr>
        <w:spacing w:line="240" w:lineRule="auto"/>
        <w:jc w:val="both"/>
        <w:rPr>
          <w:rFonts w:ascii="Arial" w:hAnsi="Arial" w:cs="Arial"/>
        </w:rPr>
      </w:pPr>
      <w:r w:rsidRPr="00E04082">
        <w:rPr>
          <w:rFonts w:ascii="Arial" w:hAnsi="Arial" w:cs="Arial"/>
        </w:rPr>
        <w:t>To apply, please complete an application form on the Queen’s University</w:t>
      </w:r>
      <w:r w:rsidRPr="00E04082">
        <w:rPr>
          <w:rFonts w:ascii="Arial" w:hAnsi="Arial" w:cs="Arial"/>
          <w:b/>
          <w:bCs/>
        </w:rPr>
        <w:t> </w:t>
      </w:r>
      <w:hyperlink r:id="rId6" w:history="1">
        <w:r w:rsidRPr="00E04082">
          <w:rPr>
            <w:rStyle w:val="Hyperlink"/>
            <w:rFonts w:ascii="Arial" w:hAnsi="Arial" w:cs="Arial"/>
            <w:b/>
            <w:bCs/>
          </w:rPr>
          <w:t>Postgraduate Applications Portal</w:t>
        </w:r>
      </w:hyperlink>
      <w:r w:rsidR="002B7251">
        <w:rPr>
          <w:rFonts w:ascii="Arial" w:hAnsi="Arial" w:cs="Arial"/>
        </w:rPr>
        <w:t xml:space="preserve"> </w:t>
      </w:r>
      <w:r w:rsidR="00311FE9">
        <w:rPr>
          <w:rFonts w:ascii="Arial" w:hAnsi="Arial" w:cs="Arial"/>
        </w:rPr>
        <w:t xml:space="preserve">including </w:t>
      </w:r>
      <w:r w:rsidR="00311FE9" w:rsidRPr="00E04082">
        <w:rPr>
          <w:rFonts w:ascii="Arial" w:hAnsi="Arial" w:cs="Arial"/>
        </w:rPr>
        <w:t>a</w:t>
      </w:r>
      <w:r>
        <w:rPr>
          <w:rFonts w:ascii="Arial" w:hAnsi="Arial" w:cs="Arial"/>
        </w:rPr>
        <w:t xml:space="preserve"> c</w:t>
      </w:r>
      <w:r w:rsidRPr="00E04082">
        <w:rPr>
          <w:rFonts w:ascii="Arial" w:hAnsi="Arial" w:cs="Arial"/>
        </w:rPr>
        <w:t>urriculum</w:t>
      </w:r>
      <w:r>
        <w:rPr>
          <w:rFonts w:ascii="Arial" w:hAnsi="Arial" w:cs="Arial"/>
        </w:rPr>
        <w:t xml:space="preserve"> v</w:t>
      </w:r>
      <w:r w:rsidRPr="00E04082">
        <w:rPr>
          <w:rFonts w:ascii="Arial" w:hAnsi="Arial" w:cs="Arial"/>
        </w:rPr>
        <w:t>itae (CV) a</w:t>
      </w:r>
      <w:r w:rsidR="00196963">
        <w:rPr>
          <w:rFonts w:ascii="Arial" w:hAnsi="Arial" w:cs="Arial"/>
        </w:rPr>
        <w:t>nd a research proposal of 1,000 </w:t>
      </w:r>
      <w:r w:rsidRPr="00E04082">
        <w:rPr>
          <w:rFonts w:ascii="Arial" w:hAnsi="Arial" w:cs="Arial"/>
        </w:rPr>
        <w:t>words</w:t>
      </w:r>
      <w:r w:rsidR="002B7251">
        <w:rPr>
          <w:rFonts w:ascii="Arial" w:hAnsi="Arial" w:cs="Arial"/>
        </w:rPr>
        <w:t>.</w:t>
      </w:r>
      <w:r w:rsidRPr="00E04082">
        <w:rPr>
          <w:rFonts w:ascii="Arial" w:hAnsi="Arial" w:cs="Arial"/>
        </w:rPr>
        <w:t xml:space="preserve"> </w:t>
      </w:r>
    </w:p>
    <w:p w:rsidR="009A56C6" w:rsidRDefault="009A56C6" w:rsidP="00E04082">
      <w:pPr>
        <w:spacing w:line="240" w:lineRule="auto"/>
        <w:jc w:val="both"/>
        <w:rPr>
          <w:rFonts w:ascii="Arial" w:hAnsi="Arial" w:cs="Arial"/>
          <w:b/>
          <w:bCs/>
        </w:rPr>
      </w:pPr>
      <w:r w:rsidRPr="009A56C6">
        <w:rPr>
          <w:rFonts w:ascii="Arial" w:hAnsi="Arial" w:cs="Arial"/>
          <w:b/>
          <w:bCs/>
        </w:rPr>
        <w:t>The closin</w:t>
      </w:r>
      <w:r>
        <w:rPr>
          <w:rFonts w:ascii="Arial" w:hAnsi="Arial" w:cs="Arial"/>
          <w:b/>
          <w:bCs/>
        </w:rPr>
        <w:t>g date for applications is Frida</w:t>
      </w:r>
      <w:r w:rsidR="00352E5F">
        <w:rPr>
          <w:rFonts w:ascii="Arial" w:hAnsi="Arial" w:cs="Arial"/>
          <w:b/>
          <w:bCs/>
        </w:rPr>
        <w:t>y 1</w:t>
      </w:r>
      <w:r w:rsidR="005444B4">
        <w:rPr>
          <w:rFonts w:ascii="Arial" w:hAnsi="Arial" w:cs="Arial"/>
          <w:b/>
          <w:bCs/>
        </w:rPr>
        <w:t>7</w:t>
      </w:r>
      <w:r w:rsidRPr="009A56C6">
        <w:rPr>
          <w:rFonts w:ascii="Arial" w:hAnsi="Arial" w:cs="Arial"/>
          <w:b/>
          <w:bCs/>
        </w:rPr>
        <w:t xml:space="preserve"> </w:t>
      </w:r>
      <w:r w:rsidR="005444B4">
        <w:rPr>
          <w:rFonts w:ascii="Arial" w:hAnsi="Arial" w:cs="Arial"/>
          <w:b/>
          <w:bCs/>
        </w:rPr>
        <w:t>January</w:t>
      </w:r>
      <w:r>
        <w:rPr>
          <w:rFonts w:ascii="Arial" w:hAnsi="Arial" w:cs="Arial"/>
          <w:b/>
          <w:bCs/>
        </w:rPr>
        <w:t xml:space="preserve"> </w:t>
      </w:r>
      <w:r w:rsidR="00352E5F">
        <w:rPr>
          <w:rFonts w:ascii="Arial" w:hAnsi="Arial" w:cs="Arial"/>
          <w:b/>
          <w:bCs/>
        </w:rPr>
        <w:t>2020</w:t>
      </w:r>
      <w:r w:rsidRPr="009A56C6">
        <w:rPr>
          <w:rFonts w:ascii="Arial" w:hAnsi="Arial" w:cs="Arial"/>
          <w:b/>
          <w:bCs/>
        </w:rPr>
        <w:t xml:space="preserve"> at 4pm</w:t>
      </w:r>
      <w:r w:rsidR="00E04082">
        <w:rPr>
          <w:rFonts w:ascii="Arial" w:hAnsi="Arial" w:cs="Arial"/>
          <w:b/>
          <w:bCs/>
        </w:rPr>
        <w:t>.</w:t>
      </w:r>
    </w:p>
    <w:p w:rsidR="00E112DE" w:rsidRDefault="005444B4" w:rsidP="00E04082">
      <w:pPr>
        <w:spacing w:line="240" w:lineRule="auto"/>
        <w:jc w:val="both"/>
        <w:rPr>
          <w:rFonts w:ascii="Arial" w:hAnsi="Arial" w:cs="Arial"/>
          <w:b/>
          <w:bCs/>
        </w:rPr>
      </w:pPr>
      <w:r>
        <w:rPr>
          <w:rFonts w:ascii="Arial" w:hAnsi="Arial" w:cs="Arial"/>
          <w:b/>
          <w:bCs/>
        </w:rPr>
        <w:t>Candidates will be notified by 13</w:t>
      </w:r>
      <w:r w:rsidR="00D161E4">
        <w:rPr>
          <w:rFonts w:ascii="Arial" w:hAnsi="Arial" w:cs="Arial"/>
          <w:b/>
          <w:bCs/>
        </w:rPr>
        <w:t xml:space="preserve"> </w:t>
      </w:r>
      <w:r>
        <w:rPr>
          <w:rFonts w:ascii="Arial" w:hAnsi="Arial" w:cs="Arial"/>
          <w:b/>
          <w:bCs/>
        </w:rPr>
        <w:t xml:space="preserve">March </w:t>
      </w:r>
      <w:r w:rsidR="00D161E4">
        <w:rPr>
          <w:rFonts w:ascii="Arial" w:hAnsi="Arial" w:cs="Arial"/>
          <w:b/>
          <w:bCs/>
        </w:rPr>
        <w:t>20</w:t>
      </w:r>
      <w:r w:rsidR="00352E5F">
        <w:rPr>
          <w:rFonts w:ascii="Arial" w:hAnsi="Arial" w:cs="Arial"/>
          <w:b/>
          <w:bCs/>
        </w:rPr>
        <w:t>20</w:t>
      </w:r>
      <w:r w:rsidR="00E112DE">
        <w:rPr>
          <w:rFonts w:ascii="Arial" w:hAnsi="Arial" w:cs="Arial"/>
          <w:b/>
          <w:bCs/>
        </w:rPr>
        <w:t xml:space="preserve"> of the outcome of their application. </w:t>
      </w:r>
    </w:p>
    <w:p w:rsidR="00E112DE" w:rsidRPr="00E112DE" w:rsidRDefault="00E112DE" w:rsidP="00E04082">
      <w:pPr>
        <w:spacing w:line="240" w:lineRule="auto"/>
        <w:jc w:val="both"/>
        <w:rPr>
          <w:rFonts w:ascii="Arial" w:hAnsi="Arial" w:cs="Arial"/>
        </w:rPr>
      </w:pPr>
      <w:r>
        <w:rPr>
          <w:rFonts w:ascii="Arial" w:hAnsi="Arial" w:cs="Arial"/>
        </w:rPr>
        <w:t>Please note you must be in a position to commen</w:t>
      </w:r>
      <w:r w:rsidR="00352E5F">
        <w:rPr>
          <w:rFonts w:ascii="Arial" w:hAnsi="Arial" w:cs="Arial"/>
        </w:rPr>
        <w:t>ce your studies on 1 October 2020</w:t>
      </w:r>
      <w:r>
        <w:rPr>
          <w:rFonts w:ascii="Arial" w:hAnsi="Arial" w:cs="Arial"/>
        </w:rPr>
        <w:t xml:space="preserve">. </w:t>
      </w:r>
    </w:p>
    <w:p w:rsidR="009A56C6" w:rsidRDefault="00352E5F" w:rsidP="00E112DE">
      <w:pPr>
        <w:spacing w:line="240" w:lineRule="auto"/>
        <w:rPr>
          <w:rFonts w:ascii="Arial" w:hAnsi="Arial" w:cs="Arial"/>
          <w:color w:val="FF0000"/>
        </w:rPr>
      </w:pPr>
      <w:r>
        <w:rPr>
          <w:rFonts w:ascii="Arial" w:hAnsi="Arial" w:cs="Arial"/>
          <w:b/>
          <w:bCs/>
          <w:color w:val="FF0000"/>
        </w:rPr>
        <w:t>Please insert the code LAW20</w:t>
      </w:r>
      <w:r w:rsidR="00311FE9">
        <w:rPr>
          <w:rFonts w:ascii="Arial" w:hAnsi="Arial" w:cs="Arial"/>
          <w:b/>
          <w:bCs/>
          <w:color w:val="FF0000"/>
        </w:rPr>
        <w:t xml:space="preserve"> into the Funding section within your application form.</w:t>
      </w:r>
    </w:p>
    <w:p w:rsidR="00311FE9" w:rsidRDefault="00311FE9" w:rsidP="00E04082">
      <w:pPr>
        <w:spacing w:line="240" w:lineRule="auto"/>
        <w:jc w:val="both"/>
        <w:rPr>
          <w:rFonts w:ascii="Arial" w:hAnsi="Arial" w:cs="Arial"/>
          <w:b/>
        </w:rPr>
      </w:pPr>
      <w:r w:rsidRPr="00311FE9">
        <w:rPr>
          <w:rFonts w:ascii="Arial" w:hAnsi="Arial" w:cs="Arial"/>
          <w:b/>
        </w:rPr>
        <w:t xml:space="preserve">ELIGIBILITY </w:t>
      </w:r>
    </w:p>
    <w:p w:rsidR="00311FE9" w:rsidRPr="00311FE9" w:rsidRDefault="00311FE9" w:rsidP="00311FE9">
      <w:pPr>
        <w:numPr>
          <w:ilvl w:val="0"/>
          <w:numId w:val="3"/>
        </w:numPr>
        <w:spacing w:line="240" w:lineRule="auto"/>
        <w:jc w:val="both"/>
        <w:rPr>
          <w:rFonts w:ascii="Arial" w:hAnsi="Arial" w:cs="Arial"/>
          <w:lang w:val="en"/>
        </w:rPr>
      </w:pPr>
      <w:r w:rsidRPr="00311FE9">
        <w:rPr>
          <w:rFonts w:ascii="Arial" w:hAnsi="Arial" w:cs="Arial"/>
          <w:lang w:val="en"/>
        </w:rPr>
        <w:t>UK residents: fees plus maintenance. </w:t>
      </w:r>
    </w:p>
    <w:p w:rsidR="00D161E4" w:rsidRDefault="00311FE9" w:rsidP="00311FE9">
      <w:pPr>
        <w:numPr>
          <w:ilvl w:val="0"/>
          <w:numId w:val="3"/>
        </w:numPr>
        <w:spacing w:line="240" w:lineRule="auto"/>
        <w:jc w:val="both"/>
        <w:rPr>
          <w:rFonts w:ascii="Arial" w:hAnsi="Arial" w:cs="Arial"/>
          <w:lang w:val="en"/>
        </w:rPr>
      </w:pPr>
      <w:r w:rsidRPr="00311FE9">
        <w:rPr>
          <w:rFonts w:ascii="Arial" w:hAnsi="Arial" w:cs="Arial"/>
          <w:lang w:val="en"/>
        </w:rPr>
        <w:t xml:space="preserve">Other EU residents: fees only. </w:t>
      </w:r>
    </w:p>
    <w:p w:rsidR="00B45558" w:rsidRDefault="00B45558" w:rsidP="00311FE9">
      <w:pPr>
        <w:numPr>
          <w:ilvl w:val="0"/>
          <w:numId w:val="3"/>
        </w:numPr>
        <w:spacing w:line="240" w:lineRule="auto"/>
        <w:jc w:val="both"/>
        <w:rPr>
          <w:rFonts w:ascii="Arial" w:hAnsi="Arial" w:cs="Arial"/>
          <w:lang w:val="en"/>
        </w:rPr>
      </w:pPr>
      <w:r>
        <w:rPr>
          <w:rFonts w:ascii="Arial" w:hAnsi="Arial" w:cs="Arial"/>
          <w:lang w:val="en"/>
        </w:rPr>
        <w:t>Study can only be undertaken on a full-time basis.</w:t>
      </w:r>
    </w:p>
    <w:p w:rsidR="00212E90" w:rsidRPr="00212E90" w:rsidRDefault="00212E90" w:rsidP="00212E90">
      <w:pPr>
        <w:pStyle w:val="xmsonormal"/>
        <w:numPr>
          <w:ilvl w:val="0"/>
          <w:numId w:val="3"/>
        </w:numPr>
        <w:rPr>
          <w:rFonts w:ascii="Arial" w:hAnsi="Arial" w:cs="Arial"/>
          <w:lang w:val="en-GB"/>
        </w:rPr>
      </w:pPr>
      <w:r w:rsidRPr="00212E90">
        <w:rPr>
          <w:rFonts w:ascii="Arial" w:hAnsi="Arial" w:cs="Arial"/>
          <w:lang w:val="en-GB"/>
        </w:rPr>
        <w:t xml:space="preserve">An Upper Second or First Class Honours degree (or equivalent qualification acceptable to the University) in law or another relevant discipline, plus a Master's degree (or equivalent qualification acceptable to the University) with an average above 60%. </w:t>
      </w:r>
    </w:p>
    <w:p w:rsidR="00212E90" w:rsidRPr="00212E90" w:rsidRDefault="00212E90" w:rsidP="00212E90">
      <w:pPr>
        <w:pStyle w:val="xmsonormal"/>
        <w:ind w:left="720"/>
        <w:rPr>
          <w:rFonts w:ascii="Arial" w:hAnsi="Arial" w:cs="Arial"/>
          <w:lang w:val="en-GB"/>
        </w:rPr>
      </w:pPr>
    </w:p>
    <w:p w:rsidR="00212E90" w:rsidRPr="00212E90" w:rsidRDefault="00212E90" w:rsidP="00212E90">
      <w:pPr>
        <w:pStyle w:val="xmsonormal"/>
        <w:numPr>
          <w:ilvl w:val="0"/>
          <w:numId w:val="3"/>
        </w:numPr>
        <w:rPr>
          <w:rFonts w:ascii="Arial" w:hAnsi="Arial" w:cs="Arial"/>
          <w:lang w:val="en-GB"/>
        </w:rPr>
      </w:pPr>
      <w:r w:rsidRPr="00212E90">
        <w:rPr>
          <w:rFonts w:ascii="Arial" w:hAnsi="Arial" w:cs="Arial"/>
          <w:lang w:val="en-GB"/>
        </w:rPr>
        <w:t xml:space="preserve">Applicants with an Upper Second or First Class Honours degree (or equivalent qualification acceptable to the University) in law or another relevant discipline who are currently studying a Master’s degree (or equivalent qualification acceptable to the University) will also be considered. </w:t>
      </w:r>
    </w:p>
    <w:p w:rsidR="00212E90" w:rsidRPr="00212E90" w:rsidRDefault="00212E90" w:rsidP="00212E90">
      <w:pPr>
        <w:pStyle w:val="xmsonormal"/>
        <w:ind w:left="720"/>
        <w:rPr>
          <w:rFonts w:ascii="Arial" w:hAnsi="Arial" w:cs="Arial"/>
          <w:lang w:val="en-GB"/>
        </w:rPr>
      </w:pPr>
    </w:p>
    <w:p w:rsidR="00212E90" w:rsidRPr="00212E90" w:rsidRDefault="00212E90" w:rsidP="00212E90">
      <w:pPr>
        <w:pStyle w:val="xmsonormal"/>
        <w:numPr>
          <w:ilvl w:val="0"/>
          <w:numId w:val="3"/>
        </w:numPr>
        <w:rPr>
          <w:rFonts w:ascii="Arial" w:hAnsi="Arial" w:cs="Arial"/>
          <w:lang w:val="en-GB"/>
        </w:rPr>
      </w:pPr>
      <w:r w:rsidRPr="00212E90">
        <w:rPr>
          <w:rFonts w:ascii="Arial" w:hAnsi="Arial" w:cs="Arial"/>
          <w:lang w:val="en-GB"/>
        </w:rPr>
        <w:t>Applicants with an Upper Second or First Class Honours degree (or equivalent qualification acceptable to the University) in law or another relevant discipline plus evidence of ability to conduct independent and original research will be considered on a case by case basis.</w:t>
      </w:r>
    </w:p>
    <w:p w:rsidR="00212E90" w:rsidRPr="00212E90" w:rsidRDefault="00212E90" w:rsidP="00212E90">
      <w:pPr>
        <w:pStyle w:val="ListParagraph"/>
        <w:rPr>
          <w:rFonts w:ascii="Arial" w:hAnsi="Arial" w:cs="Arial"/>
          <w:lang w:val="en-US"/>
        </w:rPr>
      </w:pPr>
    </w:p>
    <w:p w:rsidR="00E112DE" w:rsidRDefault="00E112DE" w:rsidP="00311FE9">
      <w:pPr>
        <w:spacing w:line="240" w:lineRule="auto"/>
        <w:jc w:val="both"/>
        <w:rPr>
          <w:rFonts w:ascii="Arial" w:hAnsi="Arial" w:cs="Arial"/>
          <w:lang w:val="en"/>
        </w:rPr>
      </w:pPr>
      <w:r>
        <w:rPr>
          <w:rFonts w:ascii="Arial" w:hAnsi="Arial" w:cs="Arial"/>
          <w:lang w:val="en"/>
        </w:rPr>
        <w:t xml:space="preserve">Please note this studentship is not available to international students. </w:t>
      </w:r>
    </w:p>
    <w:p w:rsidR="00311FE9" w:rsidRPr="00311FE9" w:rsidRDefault="00311FE9" w:rsidP="00311FE9">
      <w:pPr>
        <w:spacing w:line="240" w:lineRule="auto"/>
        <w:jc w:val="both"/>
        <w:rPr>
          <w:rFonts w:ascii="Arial" w:hAnsi="Arial" w:cs="Arial"/>
          <w:lang w:val="en"/>
        </w:rPr>
      </w:pPr>
      <w:r w:rsidRPr="00311FE9">
        <w:rPr>
          <w:rFonts w:ascii="Arial" w:hAnsi="Arial" w:cs="Arial"/>
          <w:lang w:val="en"/>
        </w:rPr>
        <w:t xml:space="preserve">For further details re eligibility criteria (including academic, citizenship and residency criteria) please click on the </w:t>
      </w:r>
      <w:hyperlink r:id="rId7" w:history="1">
        <w:r w:rsidRPr="00311FE9">
          <w:rPr>
            <w:rStyle w:val="Hyperlink"/>
            <w:rFonts w:ascii="Arial" w:hAnsi="Arial" w:cs="Arial"/>
            <w:b/>
            <w:lang w:val="en"/>
          </w:rPr>
          <w:t>DEL Research Eligibility Guidance Notes</w:t>
        </w:r>
      </w:hyperlink>
      <w:r w:rsidRPr="00311FE9">
        <w:rPr>
          <w:rFonts w:ascii="Arial" w:hAnsi="Arial" w:cs="Arial"/>
          <w:b/>
          <w:lang w:val="en"/>
        </w:rPr>
        <w:t>.</w:t>
      </w:r>
    </w:p>
    <w:p w:rsidR="00311FE9" w:rsidRDefault="00311FE9" w:rsidP="00E04082">
      <w:pPr>
        <w:spacing w:line="240" w:lineRule="auto"/>
        <w:jc w:val="both"/>
        <w:rPr>
          <w:rFonts w:ascii="Arial" w:hAnsi="Arial" w:cs="Arial"/>
          <w:color w:val="FF0000"/>
        </w:rPr>
      </w:pPr>
      <w:bookmarkStart w:id="0" w:name="_GoBack"/>
      <w:bookmarkEnd w:id="0"/>
    </w:p>
    <w:p w:rsidR="002B45AC" w:rsidRDefault="002B45AC" w:rsidP="00E04082">
      <w:pPr>
        <w:spacing w:line="240" w:lineRule="auto"/>
        <w:jc w:val="both"/>
        <w:rPr>
          <w:rFonts w:ascii="Arial" w:hAnsi="Arial" w:cs="Arial"/>
          <w:color w:val="FF0000"/>
        </w:rPr>
      </w:pPr>
    </w:p>
    <w:p w:rsidR="002B45AC" w:rsidRDefault="002B45AC" w:rsidP="00E04082">
      <w:pPr>
        <w:spacing w:line="240" w:lineRule="auto"/>
        <w:jc w:val="both"/>
        <w:rPr>
          <w:rFonts w:ascii="Arial" w:hAnsi="Arial" w:cs="Arial"/>
          <w:color w:val="FF0000"/>
        </w:rPr>
      </w:pPr>
    </w:p>
    <w:p w:rsidR="002B45AC" w:rsidRDefault="002B45AC" w:rsidP="00E04082">
      <w:pPr>
        <w:spacing w:line="240" w:lineRule="auto"/>
        <w:jc w:val="both"/>
        <w:rPr>
          <w:rFonts w:ascii="Arial" w:hAnsi="Arial" w:cs="Arial"/>
          <w:color w:val="FF0000"/>
        </w:rPr>
      </w:pPr>
    </w:p>
    <w:p w:rsidR="002B45AC" w:rsidRDefault="002B45AC" w:rsidP="00E04082">
      <w:pPr>
        <w:spacing w:line="240" w:lineRule="auto"/>
        <w:jc w:val="both"/>
        <w:rPr>
          <w:rFonts w:ascii="Arial" w:hAnsi="Arial" w:cs="Arial"/>
          <w:color w:val="FF0000"/>
        </w:rPr>
      </w:pPr>
    </w:p>
    <w:p w:rsidR="002B45AC" w:rsidRPr="00311FE9" w:rsidRDefault="002B45AC" w:rsidP="00E04082">
      <w:pPr>
        <w:spacing w:line="240" w:lineRule="auto"/>
        <w:jc w:val="both"/>
        <w:rPr>
          <w:rFonts w:ascii="Arial" w:hAnsi="Arial" w:cs="Arial"/>
          <w:color w:val="FF0000"/>
        </w:rPr>
      </w:pPr>
    </w:p>
    <w:p w:rsidR="00A714DE" w:rsidRPr="00311FE9" w:rsidRDefault="00A714DE" w:rsidP="00E04082">
      <w:pPr>
        <w:spacing w:line="240" w:lineRule="auto"/>
        <w:jc w:val="both"/>
        <w:rPr>
          <w:rFonts w:ascii="Arial" w:hAnsi="Arial" w:cs="Arial"/>
          <w:b/>
        </w:rPr>
      </w:pPr>
      <w:r w:rsidRPr="003306B6">
        <w:rPr>
          <w:rFonts w:ascii="Arial" w:hAnsi="Arial" w:cs="Arial"/>
          <w:b/>
        </w:rPr>
        <w:t>RESEARCH PROJECT</w:t>
      </w:r>
      <w:r w:rsidR="009A56C6">
        <w:rPr>
          <w:rFonts w:ascii="Arial" w:hAnsi="Arial" w:cs="Arial"/>
          <w:b/>
        </w:rPr>
        <w:t xml:space="preserve"> </w:t>
      </w:r>
    </w:p>
    <w:p w:rsidR="001C6A97" w:rsidRPr="003306B6" w:rsidRDefault="001C6A97" w:rsidP="00E04082">
      <w:pPr>
        <w:spacing w:line="240" w:lineRule="auto"/>
        <w:jc w:val="both"/>
        <w:rPr>
          <w:rFonts w:ascii="Arial" w:hAnsi="Arial" w:cs="Arial"/>
          <w:u w:val="single"/>
          <w:lang w:val="en-US"/>
        </w:rPr>
      </w:pPr>
      <w:r w:rsidRPr="003306B6">
        <w:rPr>
          <w:rFonts w:ascii="Arial" w:hAnsi="Arial" w:cs="Arial"/>
          <w:u w:val="single"/>
          <w:lang w:val="en-US"/>
        </w:rPr>
        <w:t>Title</w:t>
      </w:r>
      <w:r w:rsidRPr="003306B6">
        <w:rPr>
          <w:rFonts w:ascii="Arial" w:hAnsi="Arial" w:cs="Arial"/>
          <w:lang w:val="en-US"/>
        </w:rPr>
        <w:t xml:space="preserve">: </w:t>
      </w:r>
      <w:r w:rsidR="00A714DE" w:rsidRPr="003306B6">
        <w:rPr>
          <w:rFonts w:ascii="Arial" w:hAnsi="Arial" w:cs="Arial"/>
          <w:lang w:val="en-US"/>
        </w:rPr>
        <w:t xml:space="preserve">One State, </w:t>
      </w:r>
      <w:r w:rsidRPr="003306B6">
        <w:rPr>
          <w:rFonts w:ascii="Arial" w:hAnsi="Arial" w:cs="Arial"/>
          <w:lang w:val="en-US"/>
        </w:rPr>
        <w:t>Two Systems: A legal framework for Northern Ireland’s post-Brexit trade regime</w:t>
      </w:r>
    </w:p>
    <w:p w:rsidR="001C6A97" w:rsidRPr="003306B6" w:rsidRDefault="001C6A97" w:rsidP="00E04082">
      <w:pPr>
        <w:spacing w:line="240" w:lineRule="auto"/>
        <w:jc w:val="both"/>
        <w:rPr>
          <w:rFonts w:ascii="Arial" w:hAnsi="Arial" w:cs="Arial"/>
          <w:u w:val="single"/>
          <w:lang w:val="en-US"/>
        </w:rPr>
      </w:pPr>
      <w:r w:rsidRPr="003306B6">
        <w:rPr>
          <w:rFonts w:ascii="Arial" w:hAnsi="Arial" w:cs="Arial"/>
          <w:u w:val="single"/>
          <w:lang w:val="en-US"/>
        </w:rPr>
        <w:t>Research project:</w:t>
      </w:r>
    </w:p>
    <w:p w:rsidR="001C6A97" w:rsidRPr="003306B6" w:rsidRDefault="001C6A97" w:rsidP="00E04082">
      <w:pPr>
        <w:spacing w:line="240" w:lineRule="auto"/>
        <w:jc w:val="both"/>
        <w:rPr>
          <w:rFonts w:ascii="Arial" w:hAnsi="Arial" w:cs="Arial"/>
          <w:lang w:val="en-US"/>
        </w:rPr>
      </w:pPr>
      <w:r w:rsidRPr="003306B6">
        <w:rPr>
          <w:rFonts w:ascii="Arial" w:hAnsi="Arial" w:cs="Arial"/>
          <w:lang w:val="en-US"/>
        </w:rPr>
        <w:t xml:space="preserve">The aim of the research is to explore the unique place of Northern Ireland (NI) in the context of the United Kingdom’s (UK) and the European Union’s (EU) post-Brexit internal markets and external trade policies. </w:t>
      </w:r>
    </w:p>
    <w:p w:rsidR="001C6A97" w:rsidRPr="003306B6" w:rsidRDefault="001C6A97" w:rsidP="00E04082">
      <w:pPr>
        <w:spacing w:line="240" w:lineRule="auto"/>
        <w:jc w:val="both"/>
        <w:rPr>
          <w:rFonts w:ascii="Arial" w:hAnsi="Arial" w:cs="Arial"/>
          <w:lang w:val="en-US"/>
        </w:rPr>
      </w:pPr>
      <w:r w:rsidRPr="003306B6">
        <w:rPr>
          <w:rFonts w:ascii="Arial" w:hAnsi="Arial" w:cs="Arial"/>
          <w:lang w:val="en-US"/>
        </w:rPr>
        <w:t xml:space="preserve">As part of the </w:t>
      </w:r>
      <w:r w:rsidR="005F2DAB" w:rsidRPr="003306B6">
        <w:rPr>
          <w:rFonts w:ascii="Arial" w:hAnsi="Arial" w:cs="Arial"/>
          <w:lang w:val="en-US"/>
        </w:rPr>
        <w:t>Brexit negotiations</w:t>
      </w:r>
      <w:r w:rsidRPr="003306B6">
        <w:rPr>
          <w:rFonts w:ascii="Arial" w:hAnsi="Arial" w:cs="Arial"/>
          <w:lang w:val="en-US"/>
        </w:rPr>
        <w:t xml:space="preserve">, the EU and the UK have proposed a Protocol whereby NI will be subject to a specific trading regime with the EU. While the precise legal contours of this agreement have not been defined, this arrangement would de-facto leave NI within the EU customs territory and, in so doing, complicate its place within future UK trade policy.  </w:t>
      </w:r>
    </w:p>
    <w:p w:rsidR="001C6A97" w:rsidRPr="003306B6" w:rsidRDefault="001C6A97" w:rsidP="00E04082">
      <w:pPr>
        <w:spacing w:line="240" w:lineRule="auto"/>
        <w:jc w:val="both"/>
        <w:rPr>
          <w:rFonts w:ascii="Arial" w:hAnsi="Arial" w:cs="Arial"/>
          <w:lang w:val="en-US"/>
        </w:rPr>
      </w:pPr>
      <w:r w:rsidRPr="003306B6">
        <w:rPr>
          <w:rFonts w:ascii="Arial" w:hAnsi="Arial" w:cs="Arial"/>
          <w:lang w:val="en-US"/>
        </w:rPr>
        <w:t xml:space="preserve">This gives rise to a series of questions about NI’s trade relations with Great Britain and the rest of the world, seemingly positioning it somewhere between EU and UK trade policy. </w:t>
      </w:r>
    </w:p>
    <w:p w:rsidR="0002533A" w:rsidRDefault="001C6A97" w:rsidP="00E04082">
      <w:pPr>
        <w:spacing w:line="240" w:lineRule="auto"/>
        <w:jc w:val="both"/>
        <w:rPr>
          <w:rFonts w:ascii="Arial" w:hAnsi="Arial" w:cs="Arial"/>
          <w:lang w:val="en-US"/>
        </w:rPr>
      </w:pPr>
      <w:r w:rsidRPr="003306B6">
        <w:rPr>
          <w:rFonts w:ascii="Arial" w:hAnsi="Arial" w:cs="Arial"/>
          <w:lang w:val="en-US"/>
        </w:rPr>
        <w:t>The research project would be</w:t>
      </w:r>
      <w:r w:rsidR="00E112DE">
        <w:rPr>
          <w:rFonts w:ascii="Arial" w:hAnsi="Arial" w:cs="Arial"/>
          <w:lang w:val="en-US"/>
        </w:rPr>
        <w:t xml:space="preserve"> to</w:t>
      </w:r>
      <w:r w:rsidRPr="003306B6">
        <w:rPr>
          <w:rFonts w:ascii="Arial" w:hAnsi="Arial" w:cs="Arial"/>
          <w:lang w:val="en-US"/>
        </w:rPr>
        <w:t xml:space="preserve"> explore the legal implications of Northern Ireland’s hybrid status within both the EU and UK internal markets and external trade policies: From an EU-NI trade perspective, research questions include: What cooperative frameworks can be envisaged to ensure that NI is subject to the EU acquis</w:t>
      </w:r>
      <w:r w:rsidR="005F2DAB" w:rsidRPr="003306B6">
        <w:rPr>
          <w:rFonts w:ascii="Arial" w:hAnsi="Arial" w:cs="Arial"/>
          <w:lang w:val="en-US"/>
        </w:rPr>
        <w:t xml:space="preserve"> </w:t>
      </w:r>
      <w:proofErr w:type="spellStart"/>
      <w:r w:rsidR="005F2DAB" w:rsidRPr="003306B6">
        <w:rPr>
          <w:rFonts w:ascii="Arial" w:hAnsi="Arial" w:cs="Arial"/>
          <w:lang w:val="en-US"/>
        </w:rPr>
        <w:t>communautaire</w:t>
      </w:r>
      <w:proofErr w:type="spellEnd"/>
      <w:r w:rsidRPr="003306B6">
        <w:rPr>
          <w:rFonts w:ascii="Arial" w:hAnsi="Arial" w:cs="Arial"/>
          <w:lang w:val="en-US"/>
        </w:rPr>
        <w:t xml:space="preserve"> and able to influence EU decision-making? What is NI’s potential status with respect to EU’s external trade policy? Will NI benefit from preferential treatment negotiated under EU FTAs? From a UK trade policy perspective, research questions include: </w:t>
      </w:r>
      <w:r w:rsidRPr="003306B6">
        <w:rPr>
          <w:rFonts w:ascii="Arial" w:hAnsi="Arial" w:cs="Arial"/>
        </w:rPr>
        <w:t xml:space="preserve">Are there mechanisms available under international trade law that could be used to ensure frictionless trade between NI and Great Britain? What are the areas of policy overlap between </w:t>
      </w:r>
      <w:r w:rsidRPr="003306B6">
        <w:rPr>
          <w:rFonts w:ascii="Arial" w:hAnsi="Arial" w:cs="Arial"/>
          <w:lang w:val="en-US"/>
        </w:rPr>
        <w:t xml:space="preserve">future UK trade agreements and matters falling under the competence of NI? What mechanisms can be envisaged to ensure that </w:t>
      </w:r>
      <w:r w:rsidR="005F2DAB" w:rsidRPr="003306B6">
        <w:rPr>
          <w:rFonts w:ascii="Arial" w:hAnsi="Arial" w:cs="Arial"/>
          <w:lang w:val="en-US"/>
        </w:rPr>
        <w:t>NI has</w:t>
      </w:r>
      <w:r w:rsidRPr="003306B6">
        <w:rPr>
          <w:rFonts w:ascii="Arial" w:hAnsi="Arial" w:cs="Arial"/>
          <w:lang w:val="en-US"/>
        </w:rPr>
        <w:t xml:space="preserve"> a meaningful role in shaping future UK trade agreements?</w:t>
      </w:r>
    </w:p>
    <w:p w:rsidR="00311FE9" w:rsidRDefault="00311FE9" w:rsidP="00E04082">
      <w:pPr>
        <w:spacing w:line="240" w:lineRule="auto"/>
        <w:jc w:val="both"/>
        <w:rPr>
          <w:rFonts w:ascii="Arial" w:hAnsi="Arial" w:cs="Arial"/>
          <w:lang w:val="en-US"/>
        </w:rPr>
      </w:pPr>
    </w:p>
    <w:p w:rsidR="00311FE9" w:rsidRDefault="00311FE9" w:rsidP="00E04082">
      <w:pPr>
        <w:spacing w:line="240" w:lineRule="auto"/>
        <w:jc w:val="both"/>
        <w:rPr>
          <w:rFonts w:ascii="Arial" w:hAnsi="Arial" w:cs="Arial"/>
          <w:lang w:val="en-US"/>
        </w:rPr>
      </w:pPr>
      <w:r>
        <w:rPr>
          <w:rFonts w:ascii="Arial" w:hAnsi="Arial" w:cs="Arial"/>
          <w:lang w:val="en-US"/>
        </w:rPr>
        <w:t>For more information please contact:</w:t>
      </w:r>
    </w:p>
    <w:p w:rsidR="00311FE9" w:rsidRPr="003306B6" w:rsidRDefault="00B45558" w:rsidP="00E04082">
      <w:pPr>
        <w:spacing w:line="240" w:lineRule="auto"/>
        <w:jc w:val="both"/>
        <w:rPr>
          <w:rFonts w:ascii="Arial" w:hAnsi="Arial" w:cs="Arial"/>
        </w:rPr>
      </w:pPr>
      <w:proofErr w:type="spellStart"/>
      <w:r>
        <w:rPr>
          <w:rFonts w:ascii="Arial" w:hAnsi="Arial" w:cs="Arial"/>
          <w:lang w:val="en-US"/>
        </w:rPr>
        <w:t>Dr</w:t>
      </w:r>
      <w:proofErr w:type="spellEnd"/>
      <w:r>
        <w:rPr>
          <w:rFonts w:ascii="Arial" w:hAnsi="Arial" w:cs="Arial"/>
          <w:lang w:val="en-US"/>
        </w:rPr>
        <w:t xml:space="preserve"> Billy Melo Araujo </w:t>
      </w:r>
      <w:hyperlink r:id="rId8" w:history="1">
        <w:r w:rsidRPr="00A43F06">
          <w:rPr>
            <w:rStyle w:val="Hyperlink"/>
            <w:rFonts w:ascii="Arial" w:hAnsi="Arial" w:cs="Arial"/>
            <w:lang w:val="en-US"/>
          </w:rPr>
          <w:t>b.melo-araujo@qub.ac.uk</w:t>
        </w:r>
      </w:hyperlink>
      <w:r>
        <w:rPr>
          <w:rFonts w:ascii="Arial" w:hAnsi="Arial" w:cs="Arial"/>
          <w:lang w:val="en-US"/>
        </w:rPr>
        <w:t xml:space="preserve"> </w:t>
      </w:r>
    </w:p>
    <w:sectPr w:rsidR="00311FE9" w:rsidRPr="003306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A6111"/>
    <w:multiLevelType w:val="multilevel"/>
    <w:tmpl w:val="432A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5F0BEB"/>
    <w:multiLevelType w:val="hybridMultilevel"/>
    <w:tmpl w:val="ACCEE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600CA7"/>
    <w:multiLevelType w:val="hybridMultilevel"/>
    <w:tmpl w:val="0BC04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97"/>
    <w:rsid w:val="0002533A"/>
    <w:rsid w:val="0004475E"/>
    <w:rsid w:val="00196963"/>
    <w:rsid w:val="001C6A97"/>
    <w:rsid w:val="00212E90"/>
    <w:rsid w:val="002B45AC"/>
    <w:rsid w:val="002B6E29"/>
    <w:rsid w:val="002B7251"/>
    <w:rsid w:val="00311FE9"/>
    <w:rsid w:val="003306B6"/>
    <w:rsid w:val="00352E5F"/>
    <w:rsid w:val="0038097D"/>
    <w:rsid w:val="005444B4"/>
    <w:rsid w:val="005B6DB7"/>
    <w:rsid w:val="005F2DAB"/>
    <w:rsid w:val="009A56C6"/>
    <w:rsid w:val="00A714DE"/>
    <w:rsid w:val="00B45558"/>
    <w:rsid w:val="00D161E4"/>
    <w:rsid w:val="00DC5824"/>
    <w:rsid w:val="00E04082"/>
    <w:rsid w:val="00E11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79B40"/>
  <w15:chartTrackingRefBased/>
  <w15:docId w15:val="{E43D9698-95B2-43B5-9D8E-9D681CCFB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A97"/>
  </w:style>
  <w:style w:type="paragraph" w:styleId="Heading1">
    <w:name w:val="heading 1"/>
    <w:basedOn w:val="Normal"/>
    <w:next w:val="Normal"/>
    <w:link w:val="Heading1Char"/>
    <w:autoRedefine/>
    <w:qFormat/>
    <w:rsid w:val="005B6DB7"/>
    <w:pPr>
      <w:keepNext/>
      <w:spacing w:after="0" w:line="240" w:lineRule="auto"/>
      <w:ind w:left="705"/>
      <w:outlineLvl w:val="0"/>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6A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A97"/>
    <w:rPr>
      <w:rFonts w:ascii="Segoe UI" w:hAnsi="Segoe UI" w:cs="Segoe UI"/>
      <w:sz w:val="18"/>
      <w:szCs w:val="18"/>
    </w:rPr>
  </w:style>
  <w:style w:type="character" w:styleId="Hyperlink">
    <w:name w:val="Hyperlink"/>
    <w:basedOn w:val="DefaultParagraphFont"/>
    <w:uiPriority w:val="99"/>
    <w:unhideWhenUsed/>
    <w:rsid w:val="00E04082"/>
    <w:rPr>
      <w:color w:val="0563C1" w:themeColor="hyperlink"/>
      <w:u w:val="single"/>
    </w:rPr>
  </w:style>
  <w:style w:type="character" w:styleId="FollowedHyperlink">
    <w:name w:val="FollowedHyperlink"/>
    <w:basedOn w:val="DefaultParagraphFont"/>
    <w:uiPriority w:val="99"/>
    <w:semiHidden/>
    <w:unhideWhenUsed/>
    <w:rsid w:val="00E04082"/>
    <w:rPr>
      <w:color w:val="954F72" w:themeColor="followedHyperlink"/>
      <w:u w:val="single"/>
    </w:rPr>
  </w:style>
  <w:style w:type="paragraph" w:styleId="NoSpacing">
    <w:name w:val="No Spacing"/>
    <w:uiPriority w:val="1"/>
    <w:qFormat/>
    <w:rsid w:val="00E04082"/>
    <w:pPr>
      <w:spacing w:after="0" w:line="240" w:lineRule="auto"/>
    </w:pPr>
  </w:style>
  <w:style w:type="paragraph" w:styleId="ListParagraph">
    <w:name w:val="List Paragraph"/>
    <w:basedOn w:val="Normal"/>
    <w:uiPriority w:val="34"/>
    <w:qFormat/>
    <w:rsid w:val="00311FE9"/>
    <w:pPr>
      <w:ind w:left="720"/>
      <w:contextualSpacing/>
    </w:pPr>
  </w:style>
  <w:style w:type="character" w:customStyle="1" w:styleId="Heading1Char">
    <w:name w:val="Heading 1 Char"/>
    <w:basedOn w:val="DefaultParagraphFont"/>
    <w:link w:val="Heading1"/>
    <w:rsid w:val="005B6DB7"/>
    <w:rPr>
      <w:rFonts w:ascii="Arial" w:eastAsia="Times New Roman" w:hAnsi="Arial" w:cs="Times New Roman"/>
      <w:sz w:val="20"/>
      <w:szCs w:val="20"/>
    </w:rPr>
  </w:style>
  <w:style w:type="paragraph" w:customStyle="1" w:styleId="DeptSchoolHeader">
    <w:name w:val="Dept/School Header"/>
    <w:basedOn w:val="Normal"/>
    <w:next w:val="Normal"/>
    <w:autoRedefine/>
    <w:rsid w:val="005B6DB7"/>
    <w:pPr>
      <w:spacing w:after="180" w:line="240" w:lineRule="auto"/>
      <w:ind w:left="131"/>
    </w:pPr>
    <w:rPr>
      <w:rFonts w:eastAsia="Times New Roman" w:cs="Times New Roman"/>
      <w:b/>
      <w:sz w:val="36"/>
      <w:szCs w:val="36"/>
    </w:rPr>
  </w:style>
  <w:style w:type="paragraph" w:customStyle="1" w:styleId="xmsonormal">
    <w:name w:val="x_msonormal"/>
    <w:basedOn w:val="Normal"/>
    <w:rsid w:val="00212E90"/>
    <w:pPr>
      <w:spacing w:after="0" w:line="240" w:lineRule="auto"/>
    </w:pPr>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96896">
      <w:bodyDiv w:val="1"/>
      <w:marLeft w:val="0"/>
      <w:marRight w:val="0"/>
      <w:marTop w:val="0"/>
      <w:marBottom w:val="0"/>
      <w:divBdr>
        <w:top w:val="none" w:sz="0" w:space="0" w:color="auto"/>
        <w:left w:val="none" w:sz="0" w:space="0" w:color="auto"/>
        <w:bottom w:val="none" w:sz="0" w:space="0" w:color="auto"/>
        <w:right w:val="none" w:sz="0" w:space="0" w:color="auto"/>
      </w:divBdr>
      <w:divsChild>
        <w:div w:id="1463423521">
          <w:marLeft w:val="0"/>
          <w:marRight w:val="0"/>
          <w:marTop w:val="0"/>
          <w:marBottom w:val="0"/>
          <w:divBdr>
            <w:top w:val="none" w:sz="0" w:space="0" w:color="auto"/>
            <w:left w:val="none" w:sz="0" w:space="0" w:color="auto"/>
            <w:bottom w:val="none" w:sz="0" w:space="0" w:color="auto"/>
            <w:right w:val="none" w:sz="0" w:space="0" w:color="auto"/>
          </w:divBdr>
          <w:divsChild>
            <w:div w:id="832376698">
              <w:marLeft w:val="0"/>
              <w:marRight w:val="0"/>
              <w:marTop w:val="0"/>
              <w:marBottom w:val="0"/>
              <w:divBdr>
                <w:top w:val="none" w:sz="0" w:space="0" w:color="auto"/>
                <w:left w:val="none" w:sz="0" w:space="0" w:color="auto"/>
                <w:bottom w:val="none" w:sz="0" w:space="0" w:color="auto"/>
                <w:right w:val="none" w:sz="0" w:space="0" w:color="auto"/>
              </w:divBdr>
              <w:divsChild>
                <w:div w:id="1091006426">
                  <w:marLeft w:val="0"/>
                  <w:marRight w:val="0"/>
                  <w:marTop w:val="0"/>
                  <w:marBottom w:val="0"/>
                  <w:divBdr>
                    <w:top w:val="none" w:sz="0" w:space="0" w:color="auto"/>
                    <w:left w:val="none" w:sz="0" w:space="0" w:color="auto"/>
                    <w:bottom w:val="none" w:sz="0" w:space="0" w:color="auto"/>
                    <w:right w:val="none" w:sz="0" w:space="0" w:color="auto"/>
                  </w:divBdr>
                  <w:divsChild>
                    <w:div w:id="282346916">
                      <w:marLeft w:val="0"/>
                      <w:marRight w:val="0"/>
                      <w:marTop w:val="0"/>
                      <w:marBottom w:val="0"/>
                      <w:divBdr>
                        <w:top w:val="none" w:sz="0" w:space="0" w:color="auto"/>
                        <w:left w:val="none" w:sz="0" w:space="0" w:color="auto"/>
                        <w:bottom w:val="none" w:sz="0" w:space="0" w:color="auto"/>
                        <w:right w:val="none" w:sz="0" w:space="0" w:color="auto"/>
                      </w:divBdr>
                      <w:divsChild>
                        <w:div w:id="30593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352520">
      <w:bodyDiv w:val="1"/>
      <w:marLeft w:val="0"/>
      <w:marRight w:val="0"/>
      <w:marTop w:val="0"/>
      <w:marBottom w:val="0"/>
      <w:divBdr>
        <w:top w:val="none" w:sz="0" w:space="0" w:color="auto"/>
        <w:left w:val="none" w:sz="0" w:space="0" w:color="auto"/>
        <w:bottom w:val="none" w:sz="0" w:space="0" w:color="auto"/>
        <w:right w:val="none" w:sz="0" w:space="0" w:color="auto"/>
      </w:divBdr>
      <w:divsChild>
        <w:div w:id="811140561">
          <w:marLeft w:val="0"/>
          <w:marRight w:val="0"/>
          <w:marTop w:val="0"/>
          <w:marBottom w:val="0"/>
          <w:divBdr>
            <w:top w:val="none" w:sz="0" w:space="0" w:color="auto"/>
            <w:left w:val="none" w:sz="0" w:space="0" w:color="auto"/>
            <w:bottom w:val="none" w:sz="0" w:space="0" w:color="auto"/>
            <w:right w:val="none" w:sz="0" w:space="0" w:color="auto"/>
          </w:divBdr>
          <w:divsChild>
            <w:div w:id="152839395">
              <w:marLeft w:val="0"/>
              <w:marRight w:val="0"/>
              <w:marTop w:val="0"/>
              <w:marBottom w:val="0"/>
              <w:divBdr>
                <w:top w:val="none" w:sz="0" w:space="0" w:color="auto"/>
                <w:left w:val="none" w:sz="0" w:space="0" w:color="auto"/>
                <w:bottom w:val="none" w:sz="0" w:space="0" w:color="auto"/>
                <w:right w:val="none" w:sz="0" w:space="0" w:color="auto"/>
              </w:divBdr>
              <w:divsChild>
                <w:div w:id="1385442214">
                  <w:marLeft w:val="0"/>
                  <w:marRight w:val="0"/>
                  <w:marTop w:val="0"/>
                  <w:marBottom w:val="0"/>
                  <w:divBdr>
                    <w:top w:val="none" w:sz="0" w:space="0" w:color="auto"/>
                    <w:left w:val="none" w:sz="0" w:space="0" w:color="auto"/>
                    <w:bottom w:val="none" w:sz="0" w:space="0" w:color="auto"/>
                    <w:right w:val="none" w:sz="0" w:space="0" w:color="auto"/>
                  </w:divBdr>
                  <w:divsChild>
                    <w:div w:id="1417629220">
                      <w:marLeft w:val="0"/>
                      <w:marRight w:val="0"/>
                      <w:marTop w:val="0"/>
                      <w:marBottom w:val="0"/>
                      <w:divBdr>
                        <w:top w:val="none" w:sz="0" w:space="0" w:color="auto"/>
                        <w:left w:val="none" w:sz="0" w:space="0" w:color="auto"/>
                        <w:bottom w:val="none" w:sz="0" w:space="0" w:color="auto"/>
                        <w:right w:val="none" w:sz="0" w:space="0" w:color="auto"/>
                      </w:divBdr>
                      <w:divsChild>
                        <w:div w:id="50764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247467">
      <w:bodyDiv w:val="1"/>
      <w:marLeft w:val="0"/>
      <w:marRight w:val="0"/>
      <w:marTop w:val="0"/>
      <w:marBottom w:val="0"/>
      <w:divBdr>
        <w:top w:val="none" w:sz="0" w:space="0" w:color="auto"/>
        <w:left w:val="none" w:sz="0" w:space="0" w:color="auto"/>
        <w:bottom w:val="none" w:sz="0" w:space="0" w:color="auto"/>
        <w:right w:val="none" w:sz="0" w:space="0" w:color="auto"/>
      </w:divBdr>
    </w:div>
    <w:div w:id="201615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elo-araujo@qub.ac.uk" TargetMode="External"/><Relationship Id="rId3" Type="http://schemas.openxmlformats.org/officeDocument/2006/relationships/settings" Target="settings.xml"/><Relationship Id="rId7" Type="http://schemas.openxmlformats.org/officeDocument/2006/relationships/hyperlink" Target="https://www.nidirect.gov.uk/articles/department-economy-studentships%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p.qub.ac.uk/portal/user/u_login.php"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Melo Araujo</dc:creator>
  <cp:keywords/>
  <dc:description/>
  <cp:lastModifiedBy>Heather Kinning</cp:lastModifiedBy>
  <cp:revision>7</cp:revision>
  <cp:lastPrinted>2019-03-22T10:19:00Z</cp:lastPrinted>
  <dcterms:created xsi:type="dcterms:W3CDTF">2019-07-31T06:48:00Z</dcterms:created>
  <dcterms:modified xsi:type="dcterms:W3CDTF">2019-10-15T11:31:00Z</dcterms:modified>
</cp:coreProperties>
</file>