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53DAC" w14:textId="5742992C" w:rsidR="002E0374" w:rsidRDefault="007F3CD9" w:rsidP="007F3CD9">
      <w:pPr>
        <w:pStyle w:val="Heading1"/>
      </w:pPr>
      <w:r>
        <w:t>PGR Studentship Information Template</w:t>
      </w:r>
      <w:r w:rsidR="00B44FF9">
        <w:t xml:space="preserve"> 20</w:t>
      </w:r>
      <w:r w:rsidR="00B4262C">
        <w:t>2</w:t>
      </w:r>
      <w:r w:rsidR="00317C62">
        <w:t>1</w:t>
      </w:r>
      <w:r w:rsidR="00695F66">
        <w:t xml:space="preserve"> entry</w:t>
      </w:r>
    </w:p>
    <w:p w14:paraId="4B5BAD7D" w14:textId="77777777" w:rsidR="007F3CD9" w:rsidRDefault="007F3CD9"/>
    <w:p w14:paraId="171B66DF" w14:textId="77777777" w:rsidR="00695F66" w:rsidRDefault="00695F66" w:rsidP="00695F66">
      <w:pPr>
        <w:pStyle w:val="ListParagraph"/>
        <w:numPr>
          <w:ilvl w:val="0"/>
          <w:numId w:val="1"/>
        </w:numPr>
      </w:pPr>
      <w:r>
        <w:t xml:space="preserve">Please complete the template with as much information as possible. </w:t>
      </w:r>
    </w:p>
    <w:p w14:paraId="11463BB3" w14:textId="77777777" w:rsidR="001976E1" w:rsidRDefault="00695F66" w:rsidP="00695F66">
      <w:pPr>
        <w:pStyle w:val="ListParagraph"/>
        <w:numPr>
          <w:ilvl w:val="0"/>
          <w:numId w:val="1"/>
        </w:numPr>
      </w:pPr>
      <w:r>
        <w:t>*fields are essential.</w:t>
      </w:r>
    </w:p>
    <w:p w14:paraId="4E6D0ED4" w14:textId="77777777" w:rsidR="00695F66" w:rsidRDefault="00695F66" w:rsidP="00695F66">
      <w:pPr>
        <w:pStyle w:val="ListParagraph"/>
        <w:numPr>
          <w:ilvl w:val="0"/>
          <w:numId w:val="1"/>
        </w:numPr>
      </w:pPr>
      <w:r>
        <w:t xml:space="preserve">If you have information that does not have a </w:t>
      </w:r>
      <w:r w:rsidR="00BA71ED">
        <w:t>l</w:t>
      </w:r>
      <w:r w:rsidR="00957551">
        <w:t>abel</w:t>
      </w:r>
      <w:r>
        <w:t xml:space="preserve">, please create a new row in the table for it. </w:t>
      </w:r>
    </w:p>
    <w:p w14:paraId="48DEBBD3" w14:textId="77777777" w:rsidR="001976E1" w:rsidRDefault="001976E1"/>
    <w:tbl>
      <w:tblPr>
        <w:tblStyle w:val="TableGrid"/>
        <w:tblW w:w="9918" w:type="dxa"/>
        <w:tblLook w:val="04A0" w:firstRow="1" w:lastRow="0" w:firstColumn="1" w:lastColumn="0" w:noHBand="0" w:noVBand="1"/>
      </w:tblPr>
      <w:tblGrid>
        <w:gridCol w:w="1522"/>
        <w:gridCol w:w="8396"/>
      </w:tblGrid>
      <w:tr w:rsidR="007E0599" w14:paraId="470BFEBC" w14:textId="77777777" w:rsidTr="00773C9D">
        <w:trPr>
          <w:trHeight w:val="470"/>
        </w:trPr>
        <w:tc>
          <w:tcPr>
            <w:tcW w:w="1522" w:type="dxa"/>
            <w:shd w:val="clear" w:color="auto" w:fill="DEEAF6" w:themeFill="accent1" w:themeFillTint="33"/>
          </w:tcPr>
          <w:p w14:paraId="23D85B35" w14:textId="77777777" w:rsidR="007E0599" w:rsidRPr="007F3CD9" w:rsidRDefault="007E0599" w:rsidP="007E0599">
            <w:pPr>
              <w:rPr>
                <w:b/>
              </w:rPr>
            </w:pPr>
            <w:r>
              <w:rPr>
                <w:b/>
              </w:rPr>
              <w:t>*</w:t>
            </w:r>
            <w:r w:rsidRPr="007F3CD9">
              <w:rPr>
                <w:b/>
              </w:rPr>
              <w:t>Title of studentship</w:t>
            </w:r>
          </w:p>
        </w:tc>
        <w:tc>
          <w:tcPr>
            <w:tcW w:w="8396" w:type="dxa"/>
          </w:tcPr>
          <w:p w14:paraId="09B9EC08" w14:textId="6A395553" w:rsidR="00830A08" w:rsidRPr="007A73EB" w:rsidRDefault="007A73EB" w:rsidP="007A73EB">
            <w:pPr>
              <w:rPr>
                <w:rFonts w:cstheme="minorHAnsi"/>
                <w:b/>
                <w:bCs/>
                <w:sz w:val="24"/>
                <w:szCs w:val="24"/>
              </w:rPr>
            </w:pPr>
            <w:r>
              <w:rPr>
                <w:rFonts w:cstheme="minorHAnsi"/>
                <w:b/>
                <w:bCs/>
                <w:sz w:val="24"/>
                <w:szCs w:val="24"/>
              </w:rPr>
              <w:t xml:space="preserve">Development of a </w:t>
            </w:r>
            <w:proofErr w:type="spellStart"/>
            <w:r w:rsidRPr="007A73EB">
              <w:rPr>
                <w:rFonts w:cstheme="minorHAnsi"/>
                <w:b/>
                <w:bCs/>
                <w:sz w:val="24"/>
                <w:szCs w:val="24"/>
              </w:rPr>
              <w:t>sa</w:t>
            </w:r>
            <w:r>
              <w:rPr>
                <w:rFonts w:cstheme="minorHAnsi"/>
                <w:b/>
                <w:bCs/>
                <w:sz w:val="24"/>
                <w:szCs w:val="24"/>
              </w:rPr>
              <w:t>RNA</w:t>
            </w:r>
            <w:proofErr w:type="spellEnd"/>
            <w:r>
              <w:rPr>
                <w:rFonts w:cstheme="minorHAnsi"/>
                <w:b/>
                <w:bCs/>
                <w:sz w:val="24"/>
                <w:szCs w:val="24"/>
              </w:rPr>
              <w:t xml:space="preserve"> </w:t>
            </w:r>
            <w:proofErr w:type="spellStart"/>
            <w:r w:rsidRPr="007A73EB">
              <w:rPr>
                <w:rFonts w:cstheme="minorHAnsi"/>
                <w:b/>
                <w:bCs/>
                <w:sz w:val="24"/>
                <w:szCs w:val="24"/>
              </w:rPr>
              <w:t>nano</w:t>
            </w:r>
            <w:proofErr w:type="spellEnd"/>
            <w:r w:rsidRPr="007A73EB">
              <w:rPr>
                <w:rFonts w:cstheme="minorHAnsi"/>
                <w:b/>
                <w:bCs/>
                <w:sz w:val="24"/>
                <w:szCs w:val="24"/>
              </w:rPr>
              <w:t xml:space="preserve">-vaccine for </w:t>
            </w:r>
            <w:r>
              <w:rPr>
                <w:rFonts w:cstheme="minorHAnsi"/>
                <w:b/>
                <w:bCs/>
                <w:sz w:val="24"/>
                <w:szCs w:val="24"/>
              </w:rPr>
              <w:t>P</w:t>
            </w:r>
            <w:r w:rsidRPr="007A73EB">
              <w:rPr>
                <w:rFonts w:cstheme="minorHAnsi"/>
                <w:b/>
                <w:bCs/>
                <w:sz w:val="24"/>
                <w:szCs w:val="24"/>
              </w:rPr>
              <w:t xml:space="preserve">rostate </w:t>
            </w:r>
            <w:r>
              <w:rPr>
                <w:rFonts w:cstheme="minorHAnsi"/>
                <w:b/>
                <w:bCs/>
                <w:sz w:val="24"/>
                <w:szCs w:val="24"/>
              </w:rPr>
              <w:t>C</w:t>
            </w:r>
            <w:r w:rsidRPr="007A73EB">
              <w:rPr>
                <w:rFonts w:cstheme="minorHAnsi"/>
                <w:b/>
                <w:bCs/>
                <w:sz w:val="24"/>
                <w:szCs w:val="24"/>
              </w:rPr>
              <w:t>ancer</w:t>
            </w:r>
          </w:p>
          <w:p w14:paraId="3E2FB3A8" w14:textId="2AE82B51" w:rsidR="001B5748" w:rsidRDefault="001B5748" w:rsidP="001B5748"/>
        </w:tc>
      </w:tr>
      <w:tr w:rsidR="007E0599" w14:paraId="31C3D3B2" w14:textId="77777777" w:rsidTr="00773C9D">
        <w:trPr>
          <w:trHeight w:val="444"/>
        </w:trPr>
        <w:tc>
          <w:tcPr>
            <w:tcW w:w="1522" w:type="dxa"/>
            <w:shd w:val="clear" w:color="auto" w:fill="DEEAF6" w:themeFill="accent1" w:themeFillTint="33"/>
          </w:tcPr>
          <w:p w14:paraId="32384FCF" w14:textId="77777777" w:rsidR="007E0599" w:rsidRPr="007F3CD9" w:rsidRDefault="007E0599" w:rsidP="007E0599">
            <w:pPr>
              <w:rPr>
                <w:b/>
              </w:rPr>
            </w:pPr>
            <w:r w:rsidRPr="007F3CD9">
              <w:rPr>
                <w:b/>
              </w:rPr>
              <w:t>Value</w:t>
            </w:r>
            <w:r>
              <w:rPr>
                <w:b/>
              </w:rPr>
              <w:t xml:space="preserve"> / what is covered? </w:t>
            </w:r>
          </w:p>
        </w:tc>
        <w:tc>
          <w:tcPr>
            <w:tcW w:w="8396" w:type="dxa"/>
          </w:tcPr>
          <w:p w14:paraId="6995C56D" w14:textId="4F2BA8AB" w:rsidR="007E0599" w:rsidRDefault="007E0599" w:rsidP="00317C62"/>
        </w:tc>
      </w:tr>
      <w:tr w:rsidR="007E0599" w14:paraId="694401E5" w14:textId="77777777" w:rsidTr="00773C9D">
        <w:trPr>
          <w:trHeight w:val="470"/>
        </w:trPr>
        <w:tc>
          <w:tcPr>
            <w:tcW w:w="1522" w:type="dxa"/>
            <w:shd w:val="clear" w:color="auto" w:fill="DEEAF6" w:themeFill="accent1" w:themeFillTint="33"/>
          </w:tcPr>
          <w:p w14:paraId="409D191F" w14:textId="77777777" w:rsidR="007E0599" w:rsidRPr="007F3CD9" w:rsidRDefault="007E0599" w:rsidP="007E0599">
            <w:pPr>
              <w:rPr>
                <w:b/>
              </w:rPr>
            </w:pPr>
            <w:r w:rsidRPr="007F3CD9">
              <w:rPr>
                <w:b/>
              </w:rPr>
              <w:t>Awarding body</w:t>
            </w:r>
          </w:p>
        </w:tc>
        <w:tc>
          <w:tcPr>
            <w:tcW w:w="8396" w:type="dxa"/>
          </w:tcPr>
          <w:p w14:paraId="65D9A2B6" w14:textId="27D27D79" w:rsidR="007E0599" w:rsidRDefault="007E0599" w:rsidP="007E0599"/>
        </w:tc>
      </w:tr>
      <w:tr w:rsidR="007E0599" w14:paraId="5E50BAF4" w14:textId="77777777" w:rsidTr="00773C9D">
        <w:trPr>
          <w:trHeight w:val="444"/>
        </w:trPr>
        <w:tc>
          <w:tcPr>
            <w:tcW w:w="1522" w:type="dxa"/>
            <w:shd w:val="clear" w:color="auto" w:fill="DEEAF6" w:themeFill="accent1" w:themeFillTint="33"/>
          </w:tcPr>
          <w:p w14:paraId="7109AFF7" w14:textId="77777777" w:rsidR="007E0599" w:rsidRPr="007F3CD9" w:rsidRDefault="007E0599" w:rsidP="007E0599">
            <w:pPr>
              <w:rPr>
                <w:b/>
              </w:rPr>
            </w:pPr>
            <w:r w:rsidRPr="007F3CD9">
              <w:rPr>
                <w:b/>
              </w:rPr>
              <w:t>Number of studentships</w:t>
            </w:r>
          </w:p>
        </w:tc>
        <w:tc>
          <w:tcPr>
            <w:tcW w:w="8396" w:type="dxa"/>
          </w:tcPr>
          <w:p w14:paraId="1BB087A6" w14:textId="51244387" w:rsidR="007E0599" w:rsidRDefault="007E0599" w:rsidP="007E0599"/>
        </w:tc>
      </w:tr>
      <w:tr w:rsidR="003F1182" w14:paraId="67E34D74" w14:textId="77777777" w:rsidTr="00773C9D">
        <w:trPr>
          <w:trHeight w:val="1412"/>
        </w:trPr>
        <w:tc>
          <w:tcPr>
            <w:tcW w:w="1522" w:type="dxa"/>
            <w:shd w:val="clear" w:color="auto" w:fill="DEEAF6" w:themeFill="accent1" w:themeFillTint="33"/>
          </w:tcPr>
          <w:p w14:paraId="5A20FFB3" w14:textId="77777777" w:rsidR="003F1182" w:rsidRPr="007F3CD9" w:rsidRDefault="003F1182" w:rsidP="003F1182">
            <w:pPr>
              <w:rPr>
                <w:b/>
              </w:rPr>
            </w:pPr>
            <w:r>
              <w:rPr>
                <w:b/>
              </w:rPr>
              <w:t>*</w:t>
            </w:r>
            <w:r w:rsidRPr="007F3CD9">
              <w:rPr>
                <w:b/>
              </w:rPr>
              <w:t xml:space="preserve">Summary </w:t>
            </w:r>
            <w:r>
              <w:rPr>
                <w:b/>
              </w:rPr>
              <w:t xml:space="preserve">descriptive </w:t>
            </w:r>
            <w:r w:rsidRPr="007F3CD9">
              <w:rPr>
                <w:b/>
              </w:rPr>
              <w:t>text</w:t>
            </w:r>
            <w:r>
              <w:rPr>
                <w:b/>
              </w:rPr>
              <w:t xml:space="preserve"> / Example of research project </w:t>
            </w:r>
          </w:p>
        </w:tc>
        <w:tc>
          <w:tcPr>
            <w:tcW w:w="8396" w:type="dxa"/>
          </w:tcPr>
          <w:p w14:paraId="64EEDD6B" w14:textId="5092ED51" w:rsidR="00AB1FFD" w:rsidRPr="00AB1FFD" w:rsidRDefault="00AB1FFD" w:rsidP="00AB1FFD">
            <w:pPr>
              <w:jc w:val="both"/>
              <w:rPr>
                <w:rFonts w:cstheme="minorHAnsi"/>
                <w:lang w:val="en-US"/>
              </w:rPr>
            </w:pPr>
            <w:r w:rsidRPr="00AB1FFD">
              <w:rPr>
                <w:rFonts w:cstheme="minorHAnsi"/>
                <w:lang w:val="en-US"/>
              </w:rPr>
              <w:t xml:space="preserve">Treatment options for castrate resistant prostate cancer (CRPC) are primarily palliative. Clinically relevant immune-cell stimulated tumour-associated antigens (TAAs) have been identified that negatively correlate with treatment outcome. Nucleic acid vaccination holds tremendous potential, possessing both prophylactic and therapeutic application. Of these, RNA vaccines are much more potent than DNA vaccines, with smaller quantities stimulating greater immune responses.  </w:t>
            </w:r>
            <w:r w:rsidRPr="00AB1FFD">
              <w:rPr>
                <w:rFonts w:cstheme="minorHAnsi"/>
              </w:rPr>
              <w:t xml:space="preserve">RNA-based vaccines have the advantage of low manufacturing cost, inducing B and T cell responses, high specificity, high stability, absence of anti-vector immunity, lower reactogenicity and lacking the ability to be integrated into the host cells genome. The main disadvantage of using RNA as a vaccine is the requirement for cytoplasmic delivery to host cells and generating a strong long-lasting immunity. </w:t>
            </w:r>
            <w:r w:rsidRPr="00AB1FFD">
              <w:rPr>
                <w:rFonts w:cstheme="minorHAnsi"/>
              </w:rPr>
              <w:t>This project is designed to overcome</w:t>
            </w:r>
            <w:r w:rsidRPr="00AB1FFD">
              <w:rPr>
                <w:rFonts w:cstheme="minorHAnsi"/>
                <w:bCs/>
              </w:rPr>
              <w:t xml:space="preserve"> these limitations by using our patented non-immunogenic drug delivery system (RALA) to improve cytoplasmic delivery and to enhance the immune response by delivering </w:t>
            </w:r>
            <w:r w:rsidRPr="00AB1FFD">
              <w:rPr>
                <w:rFonts w:cstheme="minorHAnsi"/>
                <w:bCs/>
              </w:rPr>
              <w:t xml:space="preserve">both </w:t>
            </w:r>
            <w:proofErr w:type="spellStart"/>
            <w:r w:rsidRPr="00AB1FFD">
              <w:rPr>
                <w:rFonts w:cstheme="minorHAnsi"/>
                <w:bCs/>
              </w:rPr>
              <w:t>saRNA</w:t>
            </w:r>
            <w:proofErr w:type="spellEnd"/>
            <w:r w:rsidRPr="00AB1FFD">
              <w:rPr>
                <w:rFonts w:cstheme="minorHAnsi"/>
                <w:bCs/>
              </w:rPr>
              <w:t xml:space="preserve"> encoding TAAs for CRPC</w:t>
            </w:r>
            <w:r w:rsidRPr="00AB1FFD">
              <w:rPr>
                <w:rFonts w:cstheme="minorHAnsi"/>
                <w:bCs/>
              </w:rPr>
              <w:t xml:space="preserve"> and B cell activating CpG adjuvants.</w:t>
            </w:r>
            <w:r w:rsidRPr="00AB1FFD">
              <w:rPr>
                <w:rFonts w:cstheme="minorHAnsi"/>
              </w:rPr>
              <w:t xml:space="preserve"> </w:t>
            </w:r>
            <w:r w:rsidRPr="00AB1FFD">
              <w:rPr>
                <w:lang w:val="en-US"/>
              </w:rPr>
              <w:t xml:space="preserve">The end-point will </w:t>
            </w:r>
            <w:r>
              <w:rPr>
                <w:lang w:val="en-US"/>
              </w:rPr>
              <w:t>determination of a candidate</w:t>
            </w:r>
            <w:r w:rsidRPr="00AB1FFD">
              <w:rPr>
                <w:lang w:val="en-US"/>
              </w:rPr>
              <w:t xml:space="preserve"> </w:t>
            </w:r>
            <w:r>
              <w:rPr>
                <w:lang w:val="en-US"/>
              </w:rPr>
              <w:t>RALA/</w:t>
            </w:r>
            <w:proofErr w:type="spellStart"/>
            <w:r>
              <w:rPr>
                <w:lang w:val="en-US"/>
              </w:rPr>
              <w:t>sa</w:t>
            </w:r>
            <w:r w:rsidRPr="00AB1FFD">
              <w:rPr>
                <w:lang w:val="en-US"/>
              </w:rPr>
              <w:t>RNA</w:t>
            </w:r>
            <w:proofErr w:type="spellEnd"/>
            <w:r w:rsidRPr="00AB1FFD">
              <w:rPr>
                <w:lang w:val="en-US"/>
              </w:rPr>
              <w:t xml:space="preserve"> vaccine that will elicit both prophylactic and therapeutic immune responses to CRPC tumours that can then be </w:t>
            </w:r>
            <w:r>
              <w:rPr>
                <w:lang w:val="en-US"/>
              </w:rPr>
              <w:t>further developed towards the</w:t>
            </w:r>
            <w:r w:rsidRPr="00AB1FFD">
              <w:rPr>
                <w:lang w:val="en-US"/>
              </w:rPr>
              <w:t xml:space="preserve"> clinic.</w:t>
            </w:r>
          </w:p>
          <w:p w14:paraId="78B3C40F" w14:textId="0DFF9093" w:rsidR="00317C62" w:rsidRDefault="00317C62" w:rsidP="00317C62"/>
          <w:p w14:paraId="4C65F92D" w14:textId="58AFB851" w:rsidR="00AB1FFD" w:rsidRPr="00A346CC" w:rsidRDefault="00AB1FFD" w:rsidP="00773C9D">
            <w:pPr>
              <w:pStyle w:val="TableParagraph"/>
              <w:kinsoku w:val="0"/>
              <w:overflowPunct w:val="0"/>
              <w:ind w:right="128"/>
              <w:jc w:val="both"/>
              <w:rPr>
                <w:rFonts w:asciiTheme="minorHAnsi" w:hAnsiTheme="minorHAnsi"/>
                <w:sz w:val="22"/>
                <w:szCs w:val="22"/>
              </w:rPr>
            </w:pPr>
            <w:r w:rsidRPr="00A346CC">
              <w:rPr>
                <w:rFonts w:asciiTheme="minorHAnsi" w:hAnsiTheme="minorHAnsi"/>
                <w:sz w:val="22"/>
                <w:szCs w:val="22"/>
              </w:rPr>
              <w:t xml:space="preserve">This projects forms part of an exciting collaborative partnership between </w:t>
            </w:r>
            <w:r>
              <w:rPr>
                <w:rFonts w:asciiTheme="minorHAnsi" w:hAnsiTheme="minorHAnsi"/>
                <w:sz w:val="22"/>
                <w:szCs w:val="22"/>
              </w:rPr>
              <w:t xml:space="preserve">Professor McCarthy, a nucleic acids drug delivery expert </w:t>
            </w:r>
            <w:r w:rsidR="00773C9D">
              <w:rPr>
                <w:rFonts w:asciiTheme="minorHAnsi" w:hAnsiTheme="minorHAnsi"/>
                <w:sz w:val="22"/>
                <w:szCs w:val="22"/>
              </w:rPr>
              <w:t xml:space="preserve">and CEO of Phion Therapeutics </w:t>
            </w:r>
            <w:r>
              <w:rPr>
                <w:rFonts w:asciiTheme="minorHAnsi" w:hAnsiTheme="minorHAnsi"/>
                <w:sz w:val="22"/>
                <w:szCs w:val="22"/>
              </w:rPr>
              <w:t>and Dr Jonathan Coulter, a prostate cancer expert</w:t>
            </w:r>
            <w:r w:rsidR="00773C9D">
              <w:rPr>
                <w:rFonts w:asciiTheme="minorHAnsi" w:hAnsiTheme="minorHAnsi"/>
                <w:sz w:val="22"/>
                <w:szCs w:val="22"/>
              </w:rPr>
              <w:t xml:space="preserve"> in translational medicine</w:t>
            </w:r>
            <w:r>
              <w:rPr>
                <w:rFonts w:asciiTheme="minorHAnsi" w:hAnsiTheme="minorHAnsi"/>
                <w:sz w:val="22"/>
                <w:szCs w:val="22"/>
              </w:rPr>
              <w:t xml:space="preserve">. </w:t>
            </w:r>
            <w:r w:rsidRPr="00A346CC">
              <w:rPr>
                <w:rFonts w:asciiTheme="minorHAnsi" w:hAnsiTheme="minorHAnsi"/>
                <w:sz w:val="22"/>
                <w:szCs w:val="22"/>
              </w:rPr>
              <w:t>The student will benefit from training in both an academic and industry setting including pl</w:t>
            </w:r>
            <w:r>
              <w:rPr>
                <w:rFonts w:asciiTheme="minorHAnsi" w:hAnsiTheme="minorHAnsi"/>
                <w:sz w:val="22"/>
                <w:szCs w:val="22"/>
              </w:rPr>
              <w:t>acement</w:t>
            </w:r>
            <w:r w:rsidR="00773C9D">
              <w:rPr>
                <w:rFonts w:asciiTheme="minorHAnsi" w:hAnsiTheme="minorHAnsi"/>
                <w:sz w:val="22"/>
                <w:szCs w:val="22"/>
              </w:rPr>
              <w:t>s</w:t>
            </w:r>
            <w:r>
              <w:rPr>
                <w:rFonts w:asciiTheme="minorHAnsi" w:hAnsiTheme="minorHAnsi"/>
                <w:sz w:val="22"/>
                <w:szCs w:val="22"/>
              </w:rPr>
              <w:t xml:space="preserve"> in Phion Therapeutics. </w:t>
            </w:r>
            <w:r w:rsidRPr="00A346CC">
              <w:rPr>
                <w:rFonts w:asciiTheme="minorHAnsi" w:hAnsiTheme="minorHAnsi"/>
                <w:sz w:val="22"/>
                <w:szCs w:val="22"/>
              </w:rPr>
              <w:t>The project workplan encompasses a broad range of molecular biology, physiochemical and in vivo techniques providing the student with an excellent training environment and key transferable skills for future development.</w:t>
            </w:r>
          </w:p>
          <w:p w14:paraId="237558FB" w14:textId="39F78A57" w:rsidR="003F1182" w:rsidRDefault="003F1182" w:rsidP="00AB1FFD">
            <w:pPr>
              <w:spacing w:after="120"/>
              <w:jc w:val="both"/>
            </w:pPr>
          </w:p>
        </w:tc>
      </w:tr>
      <w:tr w:rsidR="003F1182" w14:paraId="10C0BBE2" w14:textId="77777777" w:rsidTr="00773C9D">
        <w:trPr>
          <w:trHeight w:val="625"/>
        </w:trPr>
        <w:tc>
          <w:tcPr>
            <w:tcW w:w="1522" w:type="dxa"/>
            <w:shd w:val="clear" w:color="auto" w:fill="DEEAF6" w:themeFill="accent1" w:themeFillTint="33"/>
          </w:tcPr>
          <w:p w14:paraId="161F44CB" w14:textId="77777777" w:rsidR="003F1182" w:rsidRDefault="003F1182" w:rsidP="003F1182">
            <w:pPr>
              <w:rPr>
                <w:b/>
              </w:rPr>
            </w:pPr>
            <w:r>
              <w:rPr>
                <w:b/>
              </w:rPr>
              <w:t>*Supervisor(s)</w:t>
            </w:r>
          </w:p>
        </w:tc>
        <w:tc>
          <w:tcPr>
            <w:tcW w:w="8396" w:type="dxa"/>
          </w:tcPr>
          <w:p w14:paraId="489ED791" w14:textId="52ED8487" w:rsidR="003F1182" w:rsidRPr="007F3CD9" w:rsidRDefault="007A73EB" w:rsidP="003F1182">
            <w:r>
              <w:t xml:space="preserve">Professor Helen McCarthy &amp; Dr Jonathan Coulter </w:t>
            </w:r>
          </w:p>
        </w:tc>
      </w:tr>
      <w:tr w:rsidR="003F1182" w14:paraId="2D0B7AA3" w14:textId="77777777" w:rsidTr="00773C9D">
        <w:trPr>
          <w:trHeight w:val="630"/>
        </w:trPr>
        <w:tc>
          <w:tcPr>
            <w:tcW w:w="1522" w:type="dxa"/>
            <w:shd w:val="clear" w:color="auto" w:fill="DEEAF6" w:themeFill="accent1" w:themeFillTint="33"/>
          </w:tcPr>
          <w:p w14:paraId="4CF47749" w14:textId="77777777" w:rsidR="003F1182" w:rsidRPr="007F3CD9" w:rsidRDefault="003F1182" w:rsidP="003F1182">
            <w:pPr>
              <w:rPr>
                <w:b/>
              </w:rPr>
            </w:pPr>
            <w:r>
              <w:rPr>
                <w:b/>
              </w:rPr>
              <w:t>*Eligibility / residence Status</w:t>
            </w:r>
          </w:p>
        </w:tc>
        <w:tc>
          <w:tcPr>
            <w:tcW w:w="8396" w:type="dxa"/>
          </w:tcPr>
          <w:p w14:paraId="59910F79" w14:textId="5C5BB595" w:rsidR="003F1182" w:rsidRPr="007F3CD9" w:rsidRDefault="00773C9D" w:rsidP="003F1182">
            <w:r>
              <w:t xml:space="preserve">Home </w:t>
            </w:r>
          </w:p>
        </w:tc>
      </w:tr>
      <w:tr w:rsidR="003F1182" w14:paraId="113345A0" w14:textId="77777777" w:rsidTr="00773C9D">
        <w:trPr>
          <w:trHeight w:val="630"/>
        </w:trPr>
        <w:tc>
          <w:tcPr>
            <w:tcW w:w="1522" w:type="dxa"/>
            <w:shd w:val="clear" w:color="auto" w:fill="DEEAF6" w:themeFill="accent1" w:themeFillTint="33"/>
          </w:tcPr>
          <w:p w14:paraId="2C6C8559" w14:textId="77777777" w:rsidR="003F1182" w:rsidRDefault="003F1182" w:rsidP="003F1182">
            <w:pPr>
              <w:rPr>
                <w:b/>
              </w:rPr>
            </w:pPr>
            <w:r>
              <w:rPr>
                <w:b/>
              </w:rPr>
              <w:lastRenderedPageBreak/>
              <w:t>Country</w:t>
            </w:r>
          </w:p>
        </w:tc>
        <w:tc>
          <w:tcPr>
            <w:tcW w:w="8396" w:type="dxa"/>
          </w:tcPr>
          <w:p w14:paraId="5A4481C5" w14:textId="20190E2C" w:rsidR="003F1182" w:rsidRDefault="003F1182" w:rsidP="003F1182"/>
        </w:tc>
      </w:tr>
      <w:tr w:rsidR="003F1182" w14:paraId="78BDF1FD" w14:textId="77777777" w:rsidTr="00773C9D">
        <w:trPr>
          <w:trHeight w:val="630"/>
        </w:trPr>
        <w:tc>
          <w:tcPr>
            <w:tcW w:w="1522" w:type="dxa"/>
            <w:shd w:val="clear" w:color="auto" w:fill="DEEAF6" w:themeFill="accent1" w:themeFillTint="33"/>
          </w:tcPr>
          <w:p w14:paraId="7702C38B" w14:textId="77777777" w:rsidR="003F1182" w:rsidRDefault="003F1182" w:rsidP="003F1182">
            <w:pPr>
              <w:rPr>
                <w:b/>
              </w:rPr>
            </w:pPr>
            <w:r>
              <w:rPr>
                <w:b/>
              </w:rPr>
              <w:t xml:space="preserve">*Start date and duration </w:t>
            </w:r>
          </w:p>
        </w:tc>
        <w:tc>
          <w:tcPr>
            <w:tcW w:w="8396" w:type="dxa"/>
          </w:tcPr>
          <w:p w14:paraId="72C13292" w14:textId="13F37D95" w:rsidR="003F1182" w:rsidRDefault="00773C9D" w:rsidP="003F1182">
            <w:r>
              <w:t>September 2021</w:t>
            </w:r>
          </w:p>
        </w:tc>
      </w:tr>
      <w:tr w:rsidR="003F1182" w14:paraId="5BE00321" w14:textId="77777777" w:rsidTr="00773C9D">
        <w:trPr>
          <w:trHeight w:val="444"/>
        </w:trPr>
        <w:tc>
          <w:tcPr>
            <w:tcW w:w="1522" w:type="dxa"/>
            <w:shd w:val="clear" w:color="auto" w:fill="DEEAF6" w:themeFill="accent1" w:themeFillTint="33"/>
          </w:tcPr>
          <w:p w14:paraId="29F966EE" w14:textId="77777777" w:rsidR="003F1182" w:rsidRPr="007F3CD9" w:rsidRDefault="003F1182" w:rsidP="003F1182">
            <w:pPr>
              <w:rPr>
                <w:b/>
              </w:rPr>
            </w:pPr>
            <w:r>
              <w:rPr>
                <w:b/>
              </w:rPr>
              <w:t>*</w:t>
            </w:r>
            <w:r w:rsidRPr="007F3CD9">
              <w:rPr>
                <w:b/>
              </w:rPr>
              <w:t>Faculty</w:t>
            </w:r>
          </w:p>
        </w:tc>
        <w:tc>
          <w:tcPr>
            <w:tcW w:w="8396" w:type="dxa"/>
          </w:tcPr>
          <w:p w14:paraId="5FEE8137" w14:textId="692F2715" w:rsidR="003F1182" w:rsidRDefault="00773C9D" w:rsidP="003F1182">
            <w:r>
              <w:t>Medicine Health and Life Sciences</w:t>
            </w:r>
          </w:p>
        </w:tc>
      </w:tr>
      <w:tr w:rsidR="003F1182" w14:paraId="2FD6EA6E" w14:textId="77777777" w:rsidTr="00773C9D">
        <w:trPr>
          <w:trHeight w:val="470"/>
        </w:trPr>
        <w:tc>
          <w:tcPr>
            <w:tcW w:w="1522" w:type="dxa"/>
            <w:shd w:val="clear" w:color="auto" w:fill="DEEAF6" w:themeFill="accent1" w:themeFillTint="33"/>
          </w:tcPr>
          <w:p w14:paraId="3BE4F543" w14:textId="77777777" w:rsidR="003F1182" w:rsidRPr="007F3CD9" w:rsidRDefault="003F1182" w:rsidP="003F1182">
            <w:pPr>
              <w:rPr>
                <w:b/>
              </w:rPr>
            </w:pPr>
            <w:r>
              <w:rPr>
                <w:b/>
              </w:rPr>
              <w:t>*</w:t>
            </w:r>
            <w:r w:rsidRPr="007F3CD9">
              <w:rPr>
                <w:b/>
              </w:rPr>
              <w:t>Research centre / School</w:t>
            </w:r>
          </w:p>
        </w:tc>
        <w:tc>
          <w:tcPr>
            <w:tcW w:w="8396" w:type="dxa"/>
          </w:tcPr>
          <w:p w14:paraId="59A1D0DF" w14:textId="0760248C" w:rsidR="003F1182" w:rsidRDefault="00317C62" w:rsidP="003F1182">
            <w:r>
              <w:t>School of Pharmacy</w:t>
            </w:r>
          </w:p>
        </w:tc>
      </w:tr>
      <w:tr w:rsidR="003F1182" w14:paraId="7931EE40" w14:textId="77777777" w:rsidTr="00773C9D">
        <w:trPr>
          <w:trHeight w:val="470"/>
        </w:trPr>
        <w:tc>
          <w:tcPr>
            <w:tcW w:w="1522" w:type="dxa"/>
            <w:shd w:val="clear" w:color="auto" w:fill="DEEAF6" w:themeFill="accent1" w:themeFillTint="33"/>
          </w:tcPr>
          <w:p w14:paraId="62EC5B9F" w14:textId="77777777" w:rsidR="003F1182" w:rsidRDefault="003F1182" w:rsidP="003F1182">
            <w:pPr>
              <w:rPr>
                <w:b/>
              </w:rPr>
            </w:pPr>
            <w:r>
              <w:rPr>
                <w:b/>
              </w:rPr>
              <w:t>Subject area</w:t>
            </w:r>
          </w:p>
        </w:tc>
        <w:tc>
          <w:tcPr>
            <w:tcW w:w="8396" w:type="dxa"/>
          </w:tcPr>
          <w:p w14:paraId="2083BE8D" w14:textId="3C427B53" w:rsidR="003F1182" w:rsidRDefault="00773C9D" w:rsidP="003F1182">
            <w:r>
              <w:t>Nanomedicine</w:t>
            </w:r>
          </w:p>
        </w:tc>
      </w:tr>
      <w:tr w:rsidR="003F1182" w14:paraId="4927DD08" w14:textId="77777777" w:rsidTr="00773C9D">
        <w:trPr>
          <w:trHeight w:val="444"/>
        </w:trPr>
        <w:tc>
          <w:tcPr>
            <w:tcW w:w="1522" w:type="dxa"/>
            <w:shd w:val="clear" w:color="auto" w:fill="DEEAF6" w:themeFill="accent1" w:themeFillTint="33"/>
          </w:tcPr>
          <w:p w14:paraId="0B8E14F3" w14:textId="77777777" w:rsidR="003F1182" w:rsidRDefault="003F1182" w:rsidP="003F1182">
            <w:pPr>
              <w:rPr>
                <w:b/>
              </w:rPr>
            </w:pPr>
            <w:r>
              <w:rPr>
                <w:b/>
              </w:rPr>
              <w:t xml:space="preserve">Candidate requirements / Key skills required for the post </w:t>
            </w:r>
          </w:p>
          <w:p w14:paraId="64C65FF4" w14:textId="77777777" w:rsidR="003F1182" w:rsidRPr="007F3CD9" w:rsidRDefault="003F1182" w:rsidP="003F1182">
            <w:pPr>
              <w:rPr>
                <w:b/>
              </w:rPr>
            </w:pPr>
          </w:p>
        </w:tc>
        <w:tc>
          <w:tcPr>
            <w:tcW w:w="8396" w:type="dxa"/>
          </w:tcPr>
          <w:p w14:paraId="295BFDE4" w14:textId="77777777" w:rsidR="003F1182" w:rsidRPr="007C3A10" w:rsidRDefault="003F1182" w:rsidP="003F1182">
            <w:r w:rsidRPr="007C3A10">
              <w:rPr>
                <w:rFonts w:cs="Arial"/>
              </w:rPr>
              <w:t>Applicants should have a 1st or 2.1 honours degree (or equivalent) in a relevant subject. Relevant subjects include Pharmacy, Molecular Biology, Pharmaceutical Sciences, Biochemistry, Biological/Biomedical Sciences,</w:t>
            </w:r>
            <w:r>
              <w:rPr>
                <w:rFonts w:cs="Arial"/>
              </w:rPr>
              <w:t xml:space="preserve"> </w:t>
            </w:r>
            <w:r w:rsidRPr="007C3A10">
              <w:rPr>
                <w:rFonts w:cs="Arial"/>
              </w:rPr>
              <w:t>Chemistry, Engineering</w:t>
            </w:r>
            <w:r>
              <w:rPr>
                <w:rFonts w:cs="Arial"/>
              </w:rPr>
              <w:t xml:space="preserve">, or </w:t>
            </w:r>
            <w:r w:rsidRPr="007C3A10">
              <w:rPr>
                <w:rFonts w:cs="Arial"/>
              </w:rPr>
              <w:t>a closely related discipline. Students who have a 2.2 honours degree and a Master’s degree may also be considered, but the School reserves the right to shortlist for interview only those applicants who have demonstrated high academic attainment to date</w:t>
            </w:r>
          </w:p>
        </w:tc>
      </w:tr>
      <w:tr w:rsidR="003F1182" w14:paraId="0165EAEE" w14:textId="77777777" w:rsidTr="00773C9D">
        <w:trPr>
          <w:trHeight w:val="444"/>
        </w:trPr>
        <w:tc>
          <w:tcPr>
            <w:tcW w:w="1522" w:type="dxa"/>
            <w:shd w:val="clear" w:color="auto" w:fill="DEEAF6" w:themeFill="accent1" w:themeFillTint="33"/>
          </w:tcPr>
          <w:p w14:paraId="19576782" w14:textId="77777777" w:rsidR="003F1182" w:rsidRDefault="003F1182" w:rsidP="003F1182">
            <w:pPr>
              <w:rPr>
                <w:b/>
              </w:rPr>
            </w:pPr>
            <w:r>
              <w:rPr>
                <w:b/>
              </w:rPr>
              <w:t>*Deadline for applications</w:t>
            </w:r>
          </w:p>
        </w:tc>
        <w:tc>
          <w:tcPr>
            <w:tcW w:w="8396" w:type="dxa"/>
          </w:tcPr>
          <w:p w14:paraId="492A9368" w14:textId="77777777" w:rsidR="003F1182" w:rsidRDefault="003F1182" w:rsidP="003F1182"/>
        </w:tc>
      </w:tr>
      <w:tr w:rsidR="003F1182" w14:paraId="3DA8871F" w14:textId="77777777" w:rsidTr="00773C9D">
        <w:trPr>
          <w:trHeight w:val="444"/>
        </w:trPr>
        <w:tc>
          <w:tcPr>
            <w:tcW w:w="1522" w:type="dxa"/>
            <w:shd w:val="clear" w:color="auto" w:fill="DEEAF6" w:themeFill="accent1" w:themeFillTint="33"/>
          </w:tcPr>
          <w:p w14:paraId="3DF26063" w14:textId="77777777" w:rsidR="003F1182" w:rsidRDefault="003F1182" w:rsidP="003F1182">
            <w:pPr>
              <w:rPr>
                <w:b/>
              </w:rPr>
            </w:pPr>
            <w:r>
              <w:rPr>
                <w:b/>
              </w:rPr>
              <w:t>*How to apply / contacts</w:t>
            </w:r>
          </w:p>
        </w:tc>
        <w:tc>
          <w:tcPr>
            <w:tcW w:w="8396" w:type="dxa"/>
          </w:tcPr>
          <w:p w14:paraId="16688B16" w14:textId="77777777" w:rsidR="003F1182" w:rsidRDefault="003F1182" w:rsidP="003F1182">
            <w:r w:rsidRPr="007F3CD9">
              <w:t>Postgraduate Research applicants</w:t>
            </w:r>
            <w:r>
              <w:t xml:space="preserve"> for</w:t>
            </w:r>
            <w:r w:rsidRPr="007F3CD9">
              <w:t xml:space="preserve"> </w:t>
            </w:r>
            <w:r>
              <w:t xml:space="preserve">Pharmacy </w:t>
            </w:r>
            <w:r w:rsidRPr="007F3CD9">
              <w:t xml:space="preserve">who are interested in applying for a fully funded </w:t>
            </w:r>
            <w:r>
              <w:t>DFE</w:t>
            </w:r>
            <w:r w:rsidRPr="007F3CD9">
              <w:t xml:space="preserve"> studentship must have applied to Queen’s, via the Direct Applications Portal, and submitted all required supporting documents by the closing date, which will be announced later in the Academic year.</w:t>
            </w:r>
          </w:p>
          <w:p w14:paraId="43AC971F" w14:textId="77777777" w:rsidR="003F1182" w:rsidRDefault="003F1182" w:rsidP="003F1182"/>
          <w:p w14:paraId="4F2E48B7" w14:textId="77777777" w:rsidR="003F1182" w:rsidRDefault="005E4BD6" w:rsidP="003F1182">
            <w:hyperlink r:id="rId5" w:history="1">
              <w:r w:rsidR="003F1182" w:rsidRPr="00920649">
                <w:rPr>
                  <w:rStyle w:val="Hyperlink"/>
                </w:rPr>
                <w:t>https://dap.</w:t>
              </w:r>
              <w:r w:rsidR="003F1182" w:rsidRPr="00920649">
                <w:rPr>
                  <w:rStyle w:val="Hyperlink"/>
                </w:rPr>
                <w:t>q</w:t>
              </w:r>
              <w:r w:rsidR="003F1182" w:rsidRPr="00920649">
                <w:rPr>
                  <w:rStyle w:val="Hyperlink"/>
                </w:rPr>
                <w:t>ub.ac.uk/portal/user/u_login.php</w:t>
              </w:r>
            </w:hyperlink>
            <w:r w:rsidR="003F1182">
              <w:t xml:space="preserve"> </w:t>
            </w:r>
            <w:r w:rsidR="003F1182">
              <w:br/>
            </w:r>
          </w:p>
        </w:tc>
      </w:tr>
      <w:tr w:rsidR="003F1182" w14:paraId="1E02E220" w14:textId="77777777" w:rsidTr="00773C9D">
        <w:trPr>
          <w:trHeight w:val="2715"/>
        </w:trPr>
        <w:tc>
          <w:tcPr>
            <w:tcW w:w="1522" w:type="dxa"/>
            <w:shd w:val="clear" w:color="auto" w:fill="DEEAF6" w:themeFill="accent1" w:themeFillTint="33"/>
          </w:tcPr>
          <w:p w14:paraId="055486A8" w14:textId="77777777" w:rsidR="003F1182" w:rsidRPr="007F3CD9" w:rsidRDefault="003F1182" w:rsidP="003F1182">
            <w:pPr>
              <w:rPr>
                <w:b/>
              </w:rPr>
            </w:pPr>
            <w:r>
              <w:rPr>
                <w:b/>
              </w:rPr>
              <w:t>Relevant</w:t>
            </w:r>
            <w:r w:rsidRPr="007F3CD9">
              <w:rPr>
                <w:b/>
              </w:rPr>
              <w:t xml:space="preserve"> links </w:t>
            </w:r>
            <w:r>
              <w:rPr>
                <w:b/>
              </w:rPr>
              <w:t xml:space="preserve">/ more information </w:t>
            </w:r>
          </w:p>
          <w:p w14:paraId="16BE9F12" w14:textId="77777777" w:rsidR="003F1182" w:rsidRDefault="003F1182" w:rsidP="003F1182"/>
        </w:tc>
        <w:tc>
          <w:tcPr>
            <w:tcW w:w="8396" w:type="dxa"/>
          </w:tcPr>
          <w:p w14:paraId="29E92652" w14:textId="77777777" w:rsidR="003F1182" w:rsidRDefault="003F1182" w:rsidP="003F1182"/>
          <w:p w14:paraId="706FD4C7" w14:textId="77777777" w:rsidR="003F1182" w:rsidRDefault="005E4BD6" w:rsidP="003F1182">
            <w:hyperlink r:id="rId6" w:history="1">
              <w:r w:rsidR="003F1182" w:rsidRPr="00810712">
                <w:rPr>
                  <w:rStyle w:val="Hyperlink"/>
                </w:rPr>
                <w:t>http://www.qub.ac.uk/schools/Scho</w:t>
              </w:r>
              <w:r w:rsidR="003F1182" w:rsidRPr="00810712">
                <w:rPr>
                  <w:rStyle w:val="Hyperlink"/>
                </w:rPr>
                <w:t>o</w:t>
              </w:r>
              <w:r w:rsidR="003F1182" w:rsidRPr="00810712">
                <w:rPr>
                  <w:rStyle w:val="Hyperlink"/>
                </w:rPr>
                <w:t>lofPharmacy/Research/PostgraduatePositions/</w:t>
              </w:r>
            </w:hyperlink>
          </w:p>
          <w:p w14:paraId="0D42D0F4" w14:textId="77777777" w:rsidR="003F1182" w:rsidRDefault="003F1182" w:rsidP="003F1182"/>
          <w:p w14:paraId="5756E174" w14:textId="5D81F64B" w:rsidR="003F1182" w:rsidRDefault="005E4BD6" w:rsidP="003F1182">
            <w:pPr>
              <w:rPr>
                <w:rStyle w:val="Hyperlink"/>
              </w:rPr>
            </w:pPr>
            <w:hyperlink r:id="rId7" w:history="1">
              <w:r w:rsidR="003F1182" w:rsidRPr="00810712">
                <w:rPr>
                  <w:rStyle w:val="Hyperlink"/>
                </w:rPr>
                <w:t>http://www.qub.ac.u</w:t>
              </w:r>
              <w:r w:rsidR="003F1182" w:rsidRPr="00810712">
                <w:rPr>
                  <w:rStyle w:val="Hyperlink"/>
                </w:rPr>
                <w:t>k</w:t>
              </w:r>
              <w:r w:rsidR="003F1182" w:rsidRPr="00810712">
                <w:rPr>
                  <w:rStyle w:val="Hyperlink"/>
                </w:rPr>
                <w:t>/schools/SchoolofPharmacy/Research/</w:t>
              </w:r>
            </w:hyperlink>
          </w:p>
          <w:p w14:paraId="5DD27E99" w14:textId="6F4FAE3D" w:rsidR="00773C9D" w:rsidRDefault="00773C9D" w:rsidP="003F1182">
            <w:pPr>
              <w:rPr>
                <w:rStyle w:val="Hyperlink"/>
              </w:rPr>
            </w:pPr>
          </w:p>
          <w:p w14:paraId="727E4A0C" w14:textId="72BA6CF1" w:rsidR="00773C9D" w:rsidRDefault="00773C9D" w:rsidP="003F1182">
            <w:pPr>
              <w:rPr>
                <w:rStyle w:val="Hyperlink"/>
              </w:rPr>
            </w:pPr>
            <w:hyperlink r:id="rId8" w:history="1">
              <w:r w:rsidRPr="00E511B7">
                <w:rPr>
                  <w:rStyle w:val="Hyperlink"/>
                </w:rPr>
                <w:t>https://www.qub.ac.uk/schools/SchoolofPharmacy/Research/ResearchThemes/</w:t>
              </w:r>
            </w:hyperlink>
          </w:p>
          <w:p w14:paraId="5EDC4143" w14:textId="74F2479E" w:rsidR="00773C9D" w:rsidRDefault="00773C9D" w:rsidP="003F1182">
            <w:pPr>
              <w:rPr>
                <w:rStyle w:val="Hyperlink"/>
              </w:rPr>
            </w:pPr>
            <w:proofErr w:type="spellStart"/>
            <w:r w:rsidRPr="00773C9D">
              <w:rPr>
                <w:rStyle w:val="Hyperlink"/>
              </w:rPr>
              <w:t>NanomedicineandBiotherapeutics</w:t>
            </w:r>
            <w:proofErr w:type="spellEnd"/>
            <w:r w:rsidRPr="00773C9D">
              <w:rPr>
                <w:rStyle w:val="Hyperlink"/>
              </w:rPr>
              <w:t>/</w:t>
            </w:r>
          </w:p>
          <w:p w14:paraId="0DB27229" w14:textId="11D248D1" w:rsidR="00773C9D" w:rsidRDefault="00773C9D" w:rsidP="003F1182">
            <w:pPr>
              <w:rPr>
                <w:rStyle w:val="Hyperlink"/>
              </w:rPr>
            </w:pPr>
          </w:p>
          <w:p w14:paraId="4B403D10" w14:textId="3E4F5B7A" w:rsidR="00773C9D" w:rsidRDefault="00773C9D" w:rsidP="003F1182">
            <w:pPr>
              <w:rPr>
                <w:rStyle w:val="Hyperlink"/>
              </w:rPr>
            </w:pPr>
            <w:hyperlink r:id="rId9" w:history="1">
              <w:r w:rsidRPr="00E511B7">
                <w:rPr>
                  <w:rStyle w:val="Hyperlink"/>
                </w:rPr>
                <w:t>https://www.qub.ac.uk/schools/SchoolofPharmacy/Research/find-a-phd-supervisor/professor-helen-mccarthy.html</w:t>
              </w:r>
            </w:hyperlink>
          </w:p>
          <w:p w14:paraId="057537D5" w14:textId="7CEB980E" w:rsidR="00773C9D" w:rsidRDefault="00773C9D" w:rsidP="003F1182">
            <w:pPr>
              <w:rPr>
                <w:rStyle w:val="Hyperlink"/>
              </w:rPr>
            </w:pPr>
          </w:p>
          <w:p w14:paraId="75353B55" w14:textId="55EF8A49" w:rsidR="00773C9D" w:rsidRDefault="00773C9D" w:rsidP="003F1182">
            <w:pPr>
              <w:rPr>
                <w:rStyle w:val="Hyperlink"/>
              </w:rPr>
            </w:pPr>
            <w:r w:rsidRPr="00773C9D">
              <w:rPr>
                <w:rStyle w:val="Hyperlink"/>
              </w:rPr>
              <w:t>https://www.qub.ac.uk/schools/SchoolofPharmacy/Research/find-a-phd-supervisor/dr-jonathan-coulter.html</w:t>
            </w:r>
          </w:p>
          <w:p w14:paraId="24291497" w14:textId="031D8E41" w:rsidR="00773C9D" w:rsidRDefault="00773C9D" w:rsidP="003F1182">
            <w:pPr>
              <w:rPr>
                <w:rStyle w:val="Hyperlink"/>
              </w:rPr>
            </w:pPr>
          </w:p>
          <w:p w14:paraId="1FE714E1" w14:textId="244320D5" w:rsidR="00773C9D" w:rsidRDefault="00773C9D" w:rsidP="003F1182">
            <w:pPr>
              <w:rPr>
                <w:rStyle w:val="Hyperlink"/>
              </w:rPr>
            </w:pPr>
            <w:hyperlink r:id="rId10" w:history="1">
              <w:r w:rsidRPr="00E511B7">
                <w:rPr>
                  <w:rStyle w:val="Hyperlink"/>
                </w:rPr>
                <w:t>www.phiontx.co.uk</w:t>
              </w:r>
            </w:hyperlink>
          </w:p>
          <w:p w14:paraId="510AEEF7" w14:textId="77777777" w:rsidR="00773C9D" w:rsidRDefault="00773C9D" w:rsidP="003F1182">
            <w:pPr>
              <w:rPr>
                <w:rStyle w:val="Hyperlink"/>
              </w:rPr>
            </w:pPr>
          </w:p>
          <w:p w14:paraId="5C254CDF" w14:textId="77777777" w:rsidR="003F1182" w:rsidRDefault="003F1182" w:rsidP="00317C62"/>
        </w:tc>
      </w:tr>
      <w:tr w:rsidR="003F1182" w14:paraId="6FA54374" w14:textId="77777777" w:rsidTr="00773C9D">
        <w:trPr>
          <w:trHeight w:val="576"/>
        </w:trPr>
        <w:tc>
          <w:tcPr>
            <w:tcW w:w="1522" w:type="dxa"/>
            <w:shd w:val="clear" w:color="auto" w:fill="DEEAF6" w:themeFill="accent1" w:themeFillTint="33"/>
          </w:tcPr>
          <w:p w14:paraId="6FA9BAAB" w14:textId="77777777" w:rsidR="003F1182" w:rsidRDefault="003F1182" w:rsidP="003F1182">
            <w:pPr>
              <w:rPr>
                <w:b/>
              </w:rPr>
            </w:pPr>
            <w:r>
              <w:rPr>
                <w:b/>
              </w:rPr>
              <w:t>Keywords for search filters</w:t>
            </w:r>
          </w:p>
        </w:tc>
        <w:tc>
          <w:tcPr>
            <w:tcW w:w="8396" w:type="dxa"/>
          </w:tcPr>
          <w:p w14:paraId="5D6B122D" w14:textId="31780DD8" w:rsidR="003F1182" w:rsidRDefault="00773C9D" w:rsidP="003F1182">
            <w:r>
              <w:t>RNA, Vaccines, Prostate Cancer, Nanomedicine, Drug Delivery</w:t>
            </w:r>
          </w:p>
        </w:tc>
      </w:tr>
      <w:tr w:rsidR="00DE3E0F" w14:paraId="46E95240" w14:textId="77777777" w:rsidTr="00773C9D">
        <w:trPr>
          <w:trHeight w:val="470"/>
        </w:trPr>
        <w:tc>
          <w:tcPr>
            <w:tcW w:w="1522" w:type="dxa"/>
            <w:shd w:val="clear" w:color="auto" w:fill="DEEAF6" w:themeFill="accent1" w:themeFillTint="33"/>
          </w:tcPr>
          <w:p w14:paraId="3219A3B1" w14:textId="77777777" w:rsidR="00DE3E0F" w:rsidRDefault="00DE3E0F" w:rsidP="00DE3E0F">
            <w:pPr>
              <w:rPr>
                <w:b/>
              </w:rPr>
            </w:pPr>
            <w:r>
              <w:rPr>
                <w:b/>
              </w:rPr>
              <w:t>Training provided through the research project</w:t>
            </w:r>
          </w:p>
        </w:tc>
        <w:tc>
          <w:tcPr>
            <w:tcW w:w="8396" w:type="dxa"/>
          </w:tcPr>
          <w:p w14:paraId="20F1DC2E" w14:textId="77777777" w:rsidR="00773C9D" w:rsidRPr="00773C9D" w:rsidRDefault="00773C9D" w:rsidP="00773C9D">
            <w:pPr>
              <w:jc w:val="both"/>
            </w:pPr>
            <w:r w:rsidRPr="00773C9D">
              <w:t>Right from the start the PhD student will be using academic research designed to have an industrial purpose with real world impact. This dual approach spans:</w:t>
            </w:r>
          </w:p>
          <w:p w14:paraId="79988C47" w14:textId="4217DE9D" w:rsidR="00773C9D" w:rsidRPr="00773C9D" w:rsidRDefault="00773C9D" w:rsidP="00773C9D">
            <w:pPr>
              <w:jc w:val="both"/>
              <w:rPr>
                <w:lang w:val="en-US"/>
              </w:rPr>
            </w:pPr>
            <w:r w:rsidRPr="00773C9D">
              <w:rPr>
                <w:lang w:val="en-US"/>
              </w:rPr>
              <w:t>1) Research Skills: the academic supervisor</w:t>
            </w:r>
            <w:r w:rsidR="00CC02B2">
              <w:rPr>
                <w:lang w:val="en-US"/>
              </w:rPr>
              <w:t xml:space="preserve">s </w:t>
            </w:r>
            <w:r w:rsidRPr="00773C9D">
              <w:rPr>
                <w:lang w:val="en-US"/>
              </w:rPr>
              <w:t xml:space="preserve">will ensure excellent training in </w:t>
            </w:r>
            <w:r w:rsidR="00CC02B2">
              <w:rPr>
                <w:lang w:val="en-US"/>
              </w:rPr>
              <w:t>nanoparticle analysis, prostate</w:t>
            </w:r>
            <w:r w:rsidRPr="00773C9D">
              <w:rPr>
                <w:lang w:val="en-US"/>
              </w:rPr>
              <w:t xml:space="preserve"> cancer techniques</w:t>
            </w:r>
            <w:r w:rsidR="00CC02B2">
              <w:rPr>
                <w:lang w:val="en-US"/>
              </w:rPr>
              <w:t>, in vitro and in vivo skills</w:t>
            </w:r>
            <w:r w:rsidRPr="00773C9D">
              <w:rPr>
                <w:lang w:val="en-US"/>
              </w:rPr>
              <w:t xml:space="preserve">. Further training with industrial regulators and awareness of a typical data package required for pre-clinical development will give the student a unique perspective. </w:t>
            </w:r>
          </w:p>
          <w:p w14:paraId="6C4A6924" w14:textId="77777777" w:rsidR="00773C9D" w:rsidRPr="00773C9D" w:rsidRDefault="00773C9D" w:rsidP="00773C9D">
            <w:pPr>
              <w:jc w:val="both"/>
              <w:rPr>
                <w:lang w:val="en-US"/>
              </w:rPr>
            </w:pPr>
            <w:r w:rsidRPr="00773C9D">
              <w:lastRenderedPageBreak/>
              <w:t>2) Record keeping &amp; monitoring: M</w:t>
            </w:r>
            <w:r w:rsidRPr="00773C9D">
              <w:rPr>
                <w:bCs/>
              </w:rPr>
              <w:t xml:space="preserve">onthly meetings with the student will take place with electronic records. Students must also complete a 3-month initial review and annual progress review to proceed to years 2 &amp; 3. The annual progress review involves written work, presentation and/or mini </w:t>
            </w:r>
            <w:r w:rsidRPr="00773C9D">
              <w:rPr>
                <w:bCs/>
                <w:i/>
              </w:rPr>
              <w:t>viva</w:t>
            </w:r>
            <w:r w:rsidRPr="00773C9D">
              <w:rPr>
                <w:bCs/>
              </w:rPr>
              <w:t>.</w:t>
            </w:r>
            <w:r w:rsidRPr="00773C9D">
              <w:rPr>
                <w:lang w:val="en-US"/>
              </w:rPr>
              <w:t xml:space="preserve"> However at each of these meetings, the industrial supervisor will also be present ensuring that the data records and presentations are also suitable for industrial purposes. </w:t>
            </w:r>
          </w:p>
          <w:p w14:paraId="02EC8650" w14:textId="28C3FD23" w:rsidR="00DE3E0F" w:rsidRDefault="00773C9D" w:rsidP="00773C9D">
            <w:pPr>
              <w:jc w:val="both"/>
            </w:pPr>
            <w:r w:rsidRPr="00773C9D">
              <w:rPr>
                <w:lang w:val="en-US"/>
              </w:rPr>
              <w:t>3) Additionally, there will be opportunities to present at both academic and industrial sectors, networking and negotiating, personal development on courses for animal licenses, GLP, advanced statistics, regulatory issues and placements with Phion where the student will work alongside current Phion employees. Phion labs are located in QUB further enhancing a truly integrative approach</w:t>
            </w:r>
          </w:p>
        </w:tc>
      </w:tr>
      <w:tr w:rsidR="00DE3E0F" w14:paraId="731DC994" w14:textId="77777777" w:rsidTr="00773C9D">
        <w:trPr>
          <w:trHeight w:val="470"/>
        </w:trPr>
        <w:tc>
          <w:tcPr>
            <w:tcW w:w="1522" w:type="dxa"/>
            <w:shd w:val="clear" w:color="auto" w:fill="DEEAF6" w:themeFill="accent1" w:themeFillTint="33"/>
          </w:tcPr>
          <w:p w14:paraId="00053B05" w14:textId="77777777" w:rsidR="00DE3E0F" w:rsidRDefault="00DE3E0F" w:rsidP="00DE3E0F">
            <w:pPr>
              <w:rPr>
                <w:b/>
              </w:rPr>
            </w:pPr>
            <w:r>
              <w:rPr>
                <w:b/>
              </w:rPr>
              <w:lastRenderedPageBreak/>
              <w:t>Expected impact activities</w:t>
            </w:r>
          </w:p>
        </w:tc>
        <w:tc>
          <w:tcPr>
            <w:tcW w:w="8396" w:type="dxa"/>
          </w:tcPr>
          <w:p w14:paraId="27B558D6" w14:textId="261FC881" w:rsidR="00DE3E0F" w:rsidRDefault="00A63CD4" w:rsidP="005E4BD6">
            <w:pPr>
              <w:jc w:val="both"/>
            </w:pPr>
            <w:r>
              <w:t xml:space="preserve">Impact activities include but are not restricted to </w:t>
            </w:r>
            <w:r w:rsidR="005E4BD6">
              <w:t xml:space="preserve">presenting the research to academic and industry peers through scientific conferences and students from different disciplines through the Graduate School. The student will also engage with patients , clinicians and key stake holders through a series of webinars/focus groups to understand how they can feed and shape the research plan. Other impact activities relate to commercialisation though IP protection processes, competitor analysis and engagement with industrial vaccine partners. </w:t>
            </w:r>
            <w:bookmarkStart w:id="0" w:name="_GoBack"/>
            <w:bookmarkEnd w:id="0"/>
          </w:p>
        </w:tc>
      </w:tr>
    </w:tbl>
    <w:p w14:paraId="58CB29AD" w14:textId="77777777" w:rsidR="00375356" w:rsidRDefault="00375356"/>
    <w:sectPr w:rsidR="003753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ヒラギノ角ゴ Pro W3">
    <w:altName w:val="MS Mincho"/>
    <w:panose1 w:val="020B0300000000000000"/>
    <w:charset w:val="80"/>
    <w:family w:val="auto"/>
    <w:pitch w:val="variable"/>
    <w:sig w:usb0="00000000"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B85528"/>
    <w:multiLevelType w:val="hybridMultilevel"/>
    <w:tmpl w:val="5FF83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CD9"/>
    <w:rsid w:val="00001543"/>
    <w:rsid w:val="00002F77"/>
    <w:rsid w:val="000035F4"/>
    <w:rsid w:val="000140E0"/>
    <w:rsid w:val="00017B3A"/>
    <w:rsid w:val="000211E7"/>
    <w:rsid w:val="00036AC1"/>
    <w:rsid w:val="0005207A"/>
    <w:rsid w:val="0006730B"/>
    <w:rsid w:val="00074FC2"/>
    <w:rsid w:val="00076683"/>
    <w:rsid w:val="0008106D"/>
    <w:rsid w:val="00087903"/>
    <w:rsid w:val="00093ED6"/>
    <w:rsid w:val="000976C2"/>
    <w:rsid w:val="000B5232"/>
    <w:rsid w:val="000B5533"/>
    <w:rsid w:val="000C6238"/>
    <w:rsid w:val="000D5235"/>
    <w:rsid w:val="000D526E"/>
    <w:rsid w:val="000F0B0E"/>
    <w:rsid w:val="000F380D"/>
    <w:rsid w:val="000F550F"/>
    <w:rsid w:val="000F6B4D"/>
    <w:rsid w:val="000F6C8E"/>
    <w:rsid w:val="00100C14"/>
    <w:rsid w:val="00114809"/>
    <w:rsid w:val="00120DEF"/>
    <w:rsid w:val="001215F1"/>
    <w:rsid w:val="00125BB4"/>
    <w:rsid w:val="00127B6D"/>
    <w:rsid w:val="0013226E"/>
    <w:rsid w:val="00133C78"/>
    <w:rsid w:val="00136716"/>
    <w:rsid w:val="00136A7C"/>
    <w:rsid w:val="0014119A"/>
    <w:rsid w:val="00147201"/>
    <w:rsid w:val="00152845"/>
    <w:rsid w:val="00152DAA"/>
    <w:rsid w:val="00152DD3"/>
    <w:rsid w:val="00157E70"/>
    <w:rsid w:val="001757EF"/>
    <w:rsid w:val="001865C3"/>
    <w:rsid w:val="00190974"/>
    <w:rsid w:val="001976E1"/>
    <w:rsid w:val="001B35A8"/>
    <w:rsid w:val="001B56F1"/>
    <w:rsid w:val="001B5748"/>
    <w:rsid w:val="001B7418"/>
    <w:rsid w:val="001B792D"/>
    <w:rsid w:val="001B7A47"/>
    <w:rsid w:val="001C09BA"/>
    <w:rsid w:val="001C15E7"/>
    <w:rsid w:val="001C36D8"/>
    <w:rsid w:val="001C59A2"/>
    <w:rsid w:val="001C6CFE"/>
    <w:rsid w:val="001D5A77"/>
    <w:rsid w:val="001E0C79"/>
    <w:rsid w:val="001E10DB"/>
    <w:rsid w:val="001E6AE7"/>
    <w:rsid w:val="001F273F"/>
    <w:rsid w:val="001F700A"/>
    <w:rsid w:val="0020192E"/>
    <w:rsid w:val="00201BD9"/>
    <w:rsid w:val="0020699C"/>
    <w:rsid w:val="002110A7"/>
    <w:rsid w:val="00211ADC"/>
    <w:rsid w:val="0023305E"/>
    <w:rsid w:val="00234A97"/>
    <w:rsid w:val="002438AA"/>
    <w:rsid w:val="0024565D"/>
    <w:rsid w:val="002663D0"/>
    <w:rsid w:val="002679A5"/>
    <w:rsid w:val="00270CA4"/>
    <w:rsid w:val="00275E36"/>
    <w:rsid w:val="00276A24"/>
    <w:rsid w:val="00286380"/>
    <w:rsid w:val="00287196"/>
    <w:rsid w:val="002963E1"/>
    <w:rsid w:val="002A0180"/>
    <w:rsid w:val="002A22B2"/>
    <w:rsid w:val="002A6769"/>
    <w:rsid w:val="002A6F4F"/>
    <w:rsid w:val="002B644E"/>
    <w:rsid w:val="002B6455"/>
    <w:rsid w:val="002E0374"/>
    <w:rsid w:val="002E219E"/>
    <w:rsid w:val="002E6701"/>
    <w:rsid w:val="002F06D8"/>
    <w:rsid w:val="002F38B4"/>
    <w:rsid w:val="002F3D8F"/>
    <w:rsid w:val="00300B77"/>
    <w:rsid w:val="00303DAB"/>
    <w:rsid w:val="00307A16"/>
    <w:rsid w:val="00312241"/>
    <w:rsid w:val="00315F1B"/>
    <w:rsid w:val="00317C62"/>
    <w:rsid w:val="00322E90"/>
    <w:rsid w:val="0034159F"/>
    <w:rsid w:val="003418CF"/>
    <w:rsid w:val="00342E0B"/>
    <w:rsid w:val="003437FB"/>
    <w:rsid w:val="00346EA7"/>
    <w:rsid w:val="00347872"/>
    <w:rsid w:val="00353B81"/>
    <w:rsid w:val="0036592A"/>
    <w:rsid w:val="0037391E"/>
    <w:rsid w:val="00374800"/>
    <w:rsid w:val="00375356"/>
    <w:rsid w:val="00381594"/>
    <w:rsid w:val="003862E4"/>
    <w:rsid w:val="00396B87"/>
    <w:rsid w:val="003A2015"/>
    <w:rsid w:val="003A233A"/>
    <w:rsid w:val="003A50B5"/>
    <w:rsid w:val="003A76E9"/>
    <w:rsid w:val="003B22CC"/>
    <w:rsid w:val="003B6BB5"/>
    <w:rsid w:val="003C0DD9"/>
    <w:rsid w:val="003C14F2"/>
    <w:rsid w:val="003D1166"/>
    <w:rsid w:val="003E3D1A"/>
    <w:rsid w:val="003E4D9E"/>
    <w:rsid w:val="003F1182"/>
    <w:rsid w:val="003F5DA8"/>
    <w:rsid w:val="003F716D"/>
    <w:rsid w:val="00403319"/>
    <w:rsid w:val="0040602C"/>
    <w:rsid w:val="00407ED6"/>
    <w:rsid w:val="00420A13"/>
    <w:rsid w:val="0043514D"/>
    <w:rsid w:val="00437BE9"/>
    <w:rsid w:val="004418E8"/>
    <w:rsid w:val="00452039"/>
    <w:rsid w:val="004658F1"/>
    <w:rsid w:val="0047023E"/>
    <w:rsid w:val="0047276F"/>
    <w:rsid w:val="00480978"/>
    <w:rsid w:val="00480D4A"/>
    <w:rsid w:val="0048607D"/>
    <w:rsid w:val="004874AA"/>
    <w:rsid w:val="004A4702"/>
    <w:rsid w:val="004C36C5"/>
    <w:rsid w:val="004C4456"/>
    <w:rsid w:val="004C5821"/>
    <w:rsid w:val="004C6CB4"/>
    <w:rsid w:val="004D2EF5"/>
    <w:rsid w:val="004D7242"/>
    <w:rsid w:val="004E5754"/>
    <w:rsid w:val="004E57B7"/>
    <w:rsid w:val="004F4713"/>
    <w:rsid w:val="004F57F3"/>
    <w:rsid w:val="00502C57"/>
    <w:rsid w:val="00507600"/>
    <w:rsid w:val="00527250"/>
    <w:rsid w:val="0053253B"/>
    <w:rsid w:val="0053628D"/>
    <w:rsid w:val="00541A46"/>
    <w:rsid w:val="00550AAE"/>
    <w:rsid w:val="00553299"/>
    <w:rsid w:val="00553AB1"/>
    <w:rsid w:val="00567EBE"/>
    <w:rsid w:val="00574D74"/>
    <w:rsid w:val="0058648B"/>
    <w:rsid w:val="005A4DBD"/>
    <w:rsid w:val="005B1A39"/>
    <w:rsid w:val="005B5E39"/>
    <w:rsid w:val="005B7F83"/>
    <w:rsid w:val="005D1843"/>
    <w:rsid w:val="005D4DF9"/>
    <w:rsid w:val="005E19CD"/>
    <w:rsid w:val="005E4BD6"/>
    <w:rsid w:val="005F2741"/>
    <w:rsid w:val="005F301D"/>
    <w:rsid w:val="00614685"/>
    <w:rsid w:val="00636529"/>
    <w:rsid w:val="00636A02"/>
    <w:rsid w:val="0064028D"/>
    <w:rsid w:val="00640638"/>
    <w:rsid w:val="0064387C"/>
    <w:rsid w:val="00656476"/>
    <w:rsid w:val="00657EC8"/>
    <w:rsid w:val="00663A1A"/>
    <w:rsid w:val="006815A5"/>
    <w:rsid w:val="00695F66"/>
    <w:rsid w:val="006977CC"/>
    <w:rsid w:val="006B2D8B"/>
    <w:rsid w:val="006B35DD"/>
    <w:rsid w:val="006B5E92"/>
    <w:rsid w:val="006C2131"/>
    <w:rsid w:val="006C5676"/>
    <w:rsid w:val="006C60CA"/>
    <w:rsid w:val="006C7069"/>
    <w:rsid w:val="006C778B"/>
    <w:rsid w:val="006D1994"/>
    <w:rsid w:val="006E4E27"/>
    <w:rsid w:val="006F6EA4"/>
    <w:rsid w:val="00703E40"/>
    <w:rsid w:val="00704886"/>
    <w:rsid w:val="00720F2B"/>
    <w:rsid w:val="00727F85"/>
    <w:rsid w:val="007347D4"/>
    <w:rsid w:val="0075794A"/>
    <w:rsid w:val="00757A63"/>
    <w:rsid w:val="007627E0"/>
    <w:rsid w:val="0076752E"/>
    <w:rsid w:val="0077082C"/>
    <w:rsid w:val="00771690"/>
    <w:rsid w:val="00771E79"/>
    <w:rsid w:val="0077245E"/>
    <w:rsid w:val="00773C9D"/>
    <w:rsid w:val="00776188"/>
    <w:rsid w:val="00781A8B"/>
    <w:rsid w:val="00781ED6"/>
    <w:rsid w:val="00793FA5"/>
    <w:rsid w:val="007A73EB"/>
    <w:rsid w:val="007B185B"/>
    <w:rsid w:val="007B1FB4"/>
    <w:rsid w:val="007B2C32"/>
    <w:rsid w:val="007B515E"/>
    <w:rsid w:val="007B5CF8"/>
    <w:rsid w:val="007B6E4A"/>
    <w:rsid w:val="007C3A10"/>
    <w:rsid w:val="007D2A36"/>
    <w:rsid w:val="007E0599"/>
    <w:rsid w:val="007E0D0E"/>
    <w:rsid w:val="007E6E7C"/>
    <w:rsid w:val="007F3B9F"/>
    <w:rsid w:val="007F3CD9"/>
    <w:rsid w:val="007F7C74"/>
    <w:rsid w:val="008022E0"/>
    <w:rsid w:val="0081399F"/>
    <w:rsid w:val="00821CE6"/>
    <w:rsid w:val="00823089"/>
    <w:rsid w:val="00830A08"/>
    <w:rsid w:val="00835A1C"/>
    <w:rsid w:val="00836A05"/>
    <w:rsid w:val="00845949"/>
    <w:rsid w:val="0085153F"/>
    <w:rsid w:val="00854482"/>
    <w:rsid w:val="0085462F"/>
    <w:rsid w:val="00862594"/>
    <w:rsid w:val="0087029C"/>
    <w:rsid w:val="00873281"/>
    <w:rsid w:val="00880D9A"/>
    <w:rsid w:val="0088290A"/>
    <w:rsid w:val="00884B0B"/>
    <w:rsid w:val="0088648A"/>
    <w:rsid w:val="0089003B"/>
    <w:rsid w:val="00890EB8"/>
    <w:rsid w:val="008937DE"/>
    <w:rsid w:val="00893C50"/>
    <w:rsid w:val="00897BAA"/>
    <w:rsid w:val="008A002F"/>
    <w:rsid w:val="008C083D"/>
    <w:rsid w:val="008F1C24"/>
    <w:rsid w:val="00925FA3"/>
    <w:rsid w:val="009279B9"/>
    <w:rsid w:val="009453CE"/>
    <w:rsid w:val="0095334C"/>
    <w:rsid w:val="00956BE2"/>
    <w:rsid w:val="00957551"/>
    <w:rsid w:val="00960566"/>
    <w:rsid w:val="00981E1C"/>
    <w:rsid w:val="00982267"/>
    <w:rsid w:val="00982CC7"/>
    <w:rsid w:val="00991636"/>
    <w:rsid w:val="00993573"/>
    <w:rsid w:val="00996932"/>
    <w:rsid w:val="009B03F1"/>
    <w:rsid w:val="009B569A"/>
    <w:rsid w:val="009D2BCC"/>
    <w:rsid w:val="009D483E"/>
    <w:rsid w:val="009D4AE3"/>
    <w:rsid w:val="009F0F1A"/>
    <w:rsid w:val="009F4EDF"/>
    <w:rsid w:val="00A0196B"/>
    <w:rsid w:val="00A05C2D"/>
    <w:rsid w:val="00A131B2"/>
    <w:rsid w:val="00A14FEA"/>
    <w:rsid w:val="00A24586"/>
    <w:rsid w:val="00A2502A"/>
    <w:rsid w:val="00A2514A"/>
    <w:rsid w:val="00A30D12"/>
    <w:rsid w:val="00A3441A"/>
    <w:rsid w:val="00A354B3"/>
    <w:rsid w:val="00A404C0"/>
    <w:rsid w:val="00A4488B"/>
    <w:rsid w:val="00A51E47"/>
    <w:rsid w:val="00A53D5A"/>
    <w:rsid w:val="00A61746"/>
    <w:rsid w:val="00A63CD4"/>
    <w:rsid w:val="00A768A4"/>
    <w:rsid w:val="00A907D7"/>
    <w:rsid w:val="00A90948"/>
    <w:rsid w:val="00A946F0"/>
    <w:rsid w:val="00AA53C1"/>
    <w:rsid w:val="00AB1FFD"/>
    <w:rsid w:val="00AB4CB5"/>
    <w:rsid w:val="00AB72A5"/>
    <w:rsid w:val="00AB76CD"/>
    <w:rsid w:val="00AC07AE"/>
    <w:rsid w:val="00AC1FE9"/>
    <w:rsid w:val="00AD429E"/>
    <w:rsid w:val="00AD6DB6"/>
    <w:rsid w:val="00AE15FE"/>
    <w:rsid w:val="00AF3133"/>
    <w:rsid w:val="00B030A3"/>
    <w:rsid w:val="00B07BDF"/>
    <w:rsid w:val="00B1507C"/>
    <w:rsid w:val="00B160F9"/>
    <w:rsid w:val="00B16E01"/>
    <w:rsid w:val="00B21B3C"/>
    <w:rsid w:val="00B27846"/>
    <w:rsid w:val="00B359EF"/>
    <w:rsid w:val="00B363F2"/>
    <w:rsid w:val="00B40805"/>
    <w:rsid w:val="00B40C54"/>
    <w:rsid w:val="00B4262C"/>
    <w:rsid w:val="00B42F58"/>
    <w:rsid w:val="00B44FF9"/>
    <w:rsid w:val="00B47154"/>
    <w:rsid w:val="00B50BAC"/>
    <w:rsid w:val="00B55E28"/>
    <w:rsid w:val="00B6354C"/>
    <w:rsid w:val="00B703CE"/>
    <w:rsid w:val="00BA71ED"/>
    <w:rsid w:val="00BB6F08"/>
    <w:rsid w:val="00BC2944"/>
    <w:rsid w:val="00BD017F"/>
    <w:rsid w:val="00BE346B"/>
    <w:rsid w:val="00BF08BD"/>
    <w:rsid w:val="00BF17EC"/>
    <w:rsid w:val="00BF4B26"/>
    <w:rsid w:val="00BF57DC"/>
    <w:rsid w:val="00C12418"/>
    <w:rsid w:val="00C2183A"/>
    <w:rsid w:val="00C263B0"/>
    <w:rsid w:val="00C31A8A"/>
    <w:rsid w:val="00C3441B"/>
    <w:rsid w:val="00C428CF"/>
    <w:rsid w:val="00C50D2D"/>
    <w:rsid w:val="00C519E9"/>
    <w:rsid w:val="00C57CF9"/>
    <w:rsid w:val="00C6334C"/>
    <w:rsid w:val="00C66B4F"/>
    <w:rsid w:val="00C7500B"/>
    <w:rsid w:val="00C861B6"/>
    <w:rsid w:val="00C876DB"/>
    <w:rsid w:val="00C912B9"/>
    <w:rsid w:val="00C938C4"/>
    <w:rsid w:val="00CA2E64"/>
    <w:rsid w:val="00CA3E08"/>
    <w:rsid w:val="00CA70D8"/>
    <w:rsid w:val="00CB3D31"/>
    <w:rsid w:val="00CC02B2"/>
    <w:rsid w:val="00CC767D"/>
    <w:rsid w:val="00CD4D50"/>
    <w:rsid w:val="00CE1429"/>
    <w:rsid w:val="00CE50BE"/>
    <w:rsid w:val="00CE6CFB"/>
    <w:rsid w:val="00D00807"/>
    <w:rsid w:val="00D0311E"/>
    <w:rsid w:val="00D113D5"/>
    <w:rsid w:val="00D11B48"/>
    <w:rsid w:val="00D1708D"/>
    <w:rsid w:val="00D23483"/>
    <w:rsid w:val="00D31D29"/>
    <w:rsid w:val="00D367BF"/>
    <w:rsid w:val="00D5030D"/>
    <w:rsid w:val="00D5690F"/>
    <w:rsid w:val="00D57854"/>
    <w:rsid w:val="00D64E36"/>
    <w:rsid w:val="00D804A3"/>
    <w:rsid w:val="00D80D41"/>
    <w:rsid w:val="00D82FEF"/>
    <w:rsid w:val="00D91A1F"/>
    <w:rsid w:val="00DA3F99"/>
    <w:rsid w:val="00DB009E"/>
    <w:rsid w:val="00DB437C"/>
    <w:rsid w:val="00DB450E"/>
    <w:rsid w:val="00DB709B"/>
    <w:rsid w:val="00DC5B83"/>
    <w:rsid w:val="00DD1D77"/>
    <w:rsid w:val="00DD6932"/>
    <w:rsid w:val="00DE3E0F"/>
    <w:rsid w:val="00DF148B"/>
    <w:rsid w:val="00E11BB2"/>
    <w:rsid w:val="00E166B5"/>
    <w:rsid w:val="00E177D8"/>
    <w:rsid w:val="00E2148C"/>
    <w:rsid w:val="00E27D11"/>
    <w:rsid w:val="00E33DAC"/>
    <w:rsid w:val="00E35E2D"/>
    <w:rsid w:val="00E36870"/>
    <w:rsid w:val="00E41AE4"/>
    <w:rsid w:val="00E44D18"/>
    <w:rsid w:val="00E455CC"/>
    <w:rsid w:val="00E471FE"/>
    <w:rsid w:val="00E5373D"/>
    <w:rsid w:val="00E55956"/>
    <w:rsid w:val="00E618A6"/>
    <w:rsid w:val="00E62BE0"/>
    <w:rsid w:val="00E720D9"/>
    <w:rsid w:val="00E721FA"/>
    <w:rsid w:val="00E731E0"/>
    <w:rsid w:val="00E76C26"/>
    <w:rsid w:val="00EA02F6"/>
    <w:rsid w:val="00EA0D01"/>
    <w:rsid w:val="00EA70C2"/>
    <w:rsid w:val="00EC4DE0"/>
    <w:rsid w:val="00EC505E"/>
    <w:rsid w:val="00ED21A7"/>
    <w:rsid w:val="00ED5C21"/>
    <w:rsid w:val="00EE11D1"/>
    <w:rsid w:val="00EE14CB"/>
    <w:rsid w:val="00EE3B21"/>
    <w:rsid w:val="00EE5C5D"/>
    <w:rsid w:val="00EE693D"/>
    <w:rsid w:val="00EF23A4"/>
    <w:rsid w:val="00EF271B"/>
    <w:rsid w:val="00F1151C"/>
    <w:rsid w:val="00F156AD"/>
    <w:rsid w:val="00F2645B"/>
    <w:rsid w:val="00F276FA"/>
    <w:rsid w:val="00F333AB"/>
    <w:rsid w:val="00F376E8"/>
    <w:rsid w:val="00F45400"/>
    <w:rsid w:val="00F52902"/>
    <w:rsid w:val="00F53AD2"/>
    <w:rsid w:val="00F61002"/>
    <w:rsid w:val="00F74680"/>
    <w:rsid w:val="00F76DAC"/>
    <w:rsid w:val="00F81886"/>
    <w:rsid w:val="00F82BDB"/>
    <w:rsid w:val="00F848EA"/>
    <w:rsid w:val="00F90DB4"/>
    <w:rsid w:val="00FB3233"/>
    <w:rsid w:val="00FB6942"/>
    <w:rsid w:val="00FC08F5"/>
    <w:rsid w:val="00FC2092"/>
    <w:rsid w:val="00FC4575"/>
    <w:rsid w:val="00FD37C6"/>
    <w:rsid w:val="00FD72DC"/>
    <w:rsid w:val="00FE66B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738590"/>
  <w15:docId w15:val="{B8791B8A-7F24-3943-9643-47704035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3C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3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3CD9"/>
    <w:rPr>
      <w:color w:val="0563C1" w:themeColor="hyperlink"/>
      <w:u w:val="single"/>
    </w:rPr>
  </w:style>
  <w:style w:type="character" w:customStyle="1" w:styleId="Heading1Char">
    <w:name w:val="Heading 1 Char"/>
    <w:basedOn w:val="DefaultParagraphFont"/>
    <w:link w:val="Heading1"/>
    <w:uiPriority w:val="9"/>
    <w:rsid w:val="007F3CD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695F66"/>
    <w:pPr>
      <w:ind w:left="720"/>
      <w:contextualSpacing/>
    </w:pPr>
  </w:style>
  <w:style w:type="paragraph" w:styleId="BalloonText">
    <w:name w:val="Balloon Text"/>
    <w:basedOn w:val="Normal"/>
    <w:link w:val="BalloonTextChar"/>
    <w:uiPriority w:val="99"/>
    <w:semiHidden/>
    <w:unhideWhenUsed/>
    <w:rsid w:val="00BA71E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71ED"/>
    <w:rPr>
      <w:rFonts w:ascii="Lucida Grande" w:hAnsi="Lucida Grande" w:cs="Lucida Grande"/>
      <w:sz w:val="18"/>
      <w:szCs w:val="18"/>
    </w:rPr>
  </w:style>
  <w:style w:type="character" w:styleId="FollowedHyperlink">
    <w:name w:val="FollowedHyperlink"/>
    <w:basedOn w:val="DefaultParagraphFont"/>
    <w:uiPriority w:val="99"/>
    <w:semiHidden/>
    <w:unhideWhenUsed/>
    <w:rsid w:val="00E41AE4"/>
    <w:rPr>
      <w:color w:val="954F72" w:themeColor="followedHyperlink"/>
      <w:u w:val="single"/>
    </w:rPr>
  </w:style>
  <w:style w:type="character" w:styleId="CommentReference">
    <w:name w:val="annotation reference"/>
    <w:basedOn w:val="DefaultParagraphFont"/>
    <w:uiPriority w:val="99"/>
    <w:semiHidden/>
    <w:unhideWhenUsed/>
    <w:rsid w:val="002963E1"/>
    <w:rPr>
      <w:sz w:val="18"/>
      <w:szCs w:val="18"/>
    </w:rPr>
  </w:style>
  <w:style w:type="paragraph" w:styleId="CommentText">
    <w:name w:val="annotation text"/>
    <w:basedOn w:val="Normal"/>
    <w:link w:val="CommentTextChar"/>
    <w:uiPriority w:val="99"/>
    <w:semiHidden/>
    <w:unhideWhenUsed/>
    <w:rsid w:val="002963E1"/>
    <w:pPr>
      <w:spacing w:after="0" w:line="240" w:lineRule="auto"/>
    </w:pPr>
    <w:rPr>
      <w:rFonts w:ascii="Arial" w:eastAsia="Times New Roman" w:hAnsi="Arial" w:cs="Times New Roman"/>
      <w:sz w:val="24"/>
      <w:szCs w:val="24"/>
    </w:rPr>
  </w:style>
  <w:style w:type="character" w:customStyle="1" w:styleId="CommentTextChar">
    <w:name w:val="Comment Text Char"/>
    <w:basedOn w:val="DefaultParagraphFont"/>
    <w:link w:val="CommentText"/>
    <w:uiPriority w:val="99"/>
    <w:semiHidden/>
    <w:rsid w:val="002963E1"/>
    <w:rPr>
      <w:rFonts w:ascii="Arial" w:eastAsia="Times New Roman" w:hAnsi="Arial" w:cs="Times New Roman"/>
      <w:sz w:val="24"/>
      <w:szCs w:val="24"/>
    </w:rPr>
  </w:style>
  <w:style w:type="paragraph" w:styleId="Header">
    <w:name w:val="header"/>
    <w:basedOn w:val="Normal"/>
    <w:link w:val="HeaderChar"/>
    <w:rsid w:val="002963E1"/>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2963E1"/>
    <w:rPr>
      <w:rFonts w:ascii="Times New Roman" w:eastAsia="Times New Roman" w:hAnsi="Times New Roman" w:cs="Times New Roman"/>
      <w:sz w:val="20"/>
      <w:szCs w:val="20"/>
    </w:rPr>
  </w:style>
  <w:style w:type="paragraph" w:customStyle="1" w:styleId="Body">
    <w:name w:val="Body"/>
    <w:rsid w:val="002963E1"/>
    <w:pPr>
      <w:spacing w:after="240" w:line="240" w:lineRule="auto"/>
    </w:pPr>
    <w:rPr>
      <w:rFonts w:ascii="Helvetica" w:eastAsia="ヒラギノ角ゴ Pro W3" w:hAnsi="Helvetica" w:cs="Times New Roman"/>
      <w:color w:val="000000"/>
      <w:sz w:val="24"/>
      <w:szCs w:val="20"/>
      <w:lang w:val="en-US"/>
    </w:rPr>
  </w:style>
  <w:style w:type="paragraph" w:styleId="CommentSubject">
    <w:name w:val="annotation subject"/>
    <w:basedOn w:val="CommentText"/>
    <w:next w:val="CommentText"/>
    <w:link w:val="CommentSubjectChar"/>
    <w:uiPriority w:val="99"/>
    <w:semiHidden/>
    <w:unhideWhenUsed/>
    <w:rsid w:val="00201BD9"/>
    <w:pPr>
      <w:spacing w:after="160"/>
    </w:pPr>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201BD9"/>
    <w:rPr>
      <w:rFonts w:ascii="Arial" w:eastAsia="Times New Roman" w:hAnsi="Arial" w:cs="Times New Roman"/>
      <w:b/>
      <w:bCs/>
      <w:sz w:val="20"/>
      <w:szCs w:val="20"/>
    </w:rPr>
  </w:style>
  <w:style w:type="paragraph" w:customStyle="1" w:styleId="TableParagraph">
    <w:name w:val="Table Paragraph"/>
    <w:basedOn w:val="Normal"/>
    <w:uiPriority w:val="1"/>
    <w:qFormat/>
    <w:rsid w:val="00AB1FFD"/>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 w:type="character" w:styleId="UnresolvedMention">
    <w:name w:val="Unresolved Mention"/>
    <w:basedOn w:val="DefaultParagraphFont"/>
    <w:uiPriority w:val="99"/>
    <w:semiHidden/>
    <w:unhideWhenUsed/>
    <w:rsid w:val="00773C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b.ac.uk/schools/SchoolofPharmacy/Research/ResearchThemes/" TargetMode="External"/><Relationship Id="rId3" Type="http://schemas.openxmlformats.org/officeDocument/2006/relationships/settings" Target="settings.xml"/><Relationship Id="rId7" Type="http://schemas.openxmlformats.org/officeDocument/2006/relationships/hyperlink" Target="http://www.qub.ac.uk/schools/SchoolofPharmacy/Researc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qub.ac.uk/schools/SchoolofPharmacy/Research/PostgraduatePositions/" TargetMode="External"/><Relationship Id="rId11" Type="http://schemas.openxmlformats.org/officeDocument/2006/relationships/fontTable" Target="fontTable.xml"/><Relationship Id="rId5" Type="http://schemas.openxmlformats.org/officeDocument/2006/relationships/hyperlink" Target="https://dap.qub.ac.uk/portal/user/u_login.php" TargetMode="External"/><Relationship Id="rId10" Type="http://schemas.openxmlformats.org/officeDocument/2006/relationships/hyperlink" Target="http://www.phiontx.co.uk" TargetMode="External"/><Relationship Id="rId4" Type="http://schemas.openxmlformats.org/officeDocument/2006/relationships/webSettings" Target="webSettings.xml"/><Relationship Id="rId9" Type="http://schemas.openxmlformats.org/officeDocument/2006/relationships/hyperlink" Target="https://www.qub.ac.uk/schools/SchoolofPharmacy/Research/find-a-phd-supervisor/professor-helen-mccarth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995</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Jess</dc:creator>
  <cp:lastModifiedBy>Microsoft Office User</cp:lastModifiedBy>
  <cp:revision>6</cp:revision>
  <dcterms:created xsi:type="dcterms:W3CDTF">2020-10-31T04:32:00Z</dcterms:created>
  <dcterms:modified xsi:type="dcterms:W3CDTF">2020-10-31T05:09:00Z</dcterms:modified>
</cp:coreProperties>
</file>