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EE8D" w14:textId="16710FE3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64D3A">
        <w:t>1</w:t>
      </w:r>
      <w:r w:rsidR="00695F66">
        <w:t xml:space="preserve"> entry</w:t>
      </w:r>
    </w:p>
    <w:p w14:paraId="2B345B2F" w14:textId="77777777" w:rsidR="007F3CD9" w:rsidRDefault="007F3CD9"/>
    <w:p w14:paraId="129AEA40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5C195A5C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53AC75B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1A2C6504" w14:textId="77777777" w:rsidR="001976E1" w:rsidRDefault="001976E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0E40262D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342C1023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30" w:type="dxa"/>
          </w:tcPr>
          <w:p w14:paraId="1973E5B6" w14:textId="53BD815F" w:rsidR="007F3CD9" w:rsidRPr="000A3F4B" w:rsidRDefault="000A3F4B" w:rsidP="00211ADC">
            <w:pPr>
              <w:rPr>
                <w:rFonts w:cstheme="minorHAnsi"/>
              </w:rPr>
            </w:pPr>
            <w:r w:rsidRPr="000A3F4B">
              <w:rPr>
                <w:rFonts w:cstheme="minorHAnsi"/>
              </w:rPr>
              <w:t>Novel enzyme inhibitors for chemical biology and drug discovery</w:t>
            </w:r>
          </w:p>
        </w:tc>
      </w:tr>
      <w:tr w:rsidR="007F3CD9" w14:paraId="3766549B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E054285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3AD5CEAB" w14:textId="350B101E" w:rsidR="007C3A10" w:rsidRDefault="00364D3A" w:rsidP="00B4262C">
            <w:r>
              <w:t>3</w:t>
            </w:r>
            <w:r w:rsidR="0098039B">
              <w:t>-years (fully funded)</w:t>
            </w:r>
          </w:p>
        </w:tc>
      </w:tr>
      <w:tr w:rsidR="007F3CD9" w14:paraId="15E2680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6BC89A05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30" w:type="dxa"/>
          </w:tcPr>
          <w:p w14:paraId="09C9983F" w14:textId="4BFC9A2B" w:rsidR="007F3CD9" w:rsidRDefault="00394631">
            <w:r>
              <w:t>DfE</w:t>
            </w:r>
          </w:p>
        </w:tc>
      </w:tr>
      <w:tr w:rsidR="007F3CD9" w14:paraId="1AE9910D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29BE9949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30" w:type="dxa"/>
          </w:tcPr>
          <w:p w14:paraId="100B41D7" w14:textId="5977FE7D" w:rsidR="007F3CD9" w:rsidRDefault="00364D3A">
            <w:r>
              <w:t>1</w:t>
            </w:r>
          </w:p>
        </w:tc>
      </w:tr>
      <w:tr w:rsidR="007F3CD9" w14:paraId="52EFB56C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0D6E5F31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47B4BFE0" w14:textId="4AE5AB52" w:rsidR="000A3F4B" w:rsidRDefault="000A3F4B" w:rsidP="000A3F4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Glycosylation is the most common posttranslational modification of proteins. Central to this process is a family of enzymes called glycosyltransferases, Nature’s glycosylation reagents. Redirecting protein glycosylation with small molecular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glycosyltransferase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inhibitors is an attractive and powerful approach with many potential applications, from bioengineering of therapeutic antibodies to antibacterial drug discovery.</w:t>
            </w:r>
          </w:p>
          <w:p w14:paraId="54FADD1F" w14:textId="6B8E72F9" w:rsidR="002806BD" w:rsidRDefault="000A3F4B" w:rsidP="002806B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Wagner group has a long-standing track record in glycosyltransferase inhibitor development, including </w:t>
            </w:r>
            <w:r w:rsidR="00AB7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discovery of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novel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class </w:t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allosteric inhibit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ors</w:t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hyperlink r:id="rId5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Nat Chem </w:t>
              </w:r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Biol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2010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hyperlink r:id="rId6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J Med Chem 2012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J </w:t>
              </w:r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Biol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Chem 2013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8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J </w:t>
              </w:r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Biol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Chem 2015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), </w:t>
            </w:r>
            <w:r w:rsidR="00AB7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="00280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drug-like covalent inhibitors (</w:t>
            </w:r>
            <w:proofErr w:type="spellStart"/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/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0A3F4B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/>
              </w:rPr>
              <w:t>Bioorg</w:t>
            </w:r>
            <w:proofErr w:type="spellEnd"/>
            <w:r w:rsidRPr="000A3F4B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 Chem 2017</w:t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9" w:history="1"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Bioorg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Med Chem 2018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280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013AEEF6" w14:textId="6B237F0D" w:rsidR="002806BD" w:rsidRDefault="002806BD" w:rsidP="002806B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Building on this previous work, you will in this project apply the latest inhibitor design concepts in medicinal chemistry to develop novel 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lycosyltransferase inhibitor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with suitable properties for applications in cell culture and whole organisms. </w:t>
            </w:r>
            <w:r w:rsidR="00AB7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You will also evaluate your inhibitor candidates in biochemical assays and, in collaboration with </w:t>
            </w:r>
            <w:r w:rsidR="006023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internal and external </w:t>
            </w:r>
            <w:r w:rsidR="00AB7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partners, advanced</w:t>
            </w:r>
            <w:r w:rsidR="00AB7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biological systems, e.g., for antibody engineering and antibacterial drug discovery.</w:t>
            </w:r>
          </w:p>
          <w:p w14:paraId="2CB60836" w14:textId="5849333F" w:rsidR="002806BD" w:rsidRDefault="002806BD" w:rsidP="002806B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755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project </w:t>
            </w:r>
            <w:r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will provide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extensive </w:t>
            </w:r>
            <w:r w:rsidRPr="007E7F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multidisciplinary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training at the chemistry/biology interface</w:t>
            </w:r>
            <w:r w:rsidR="00AB7B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</w:t>
            </w:r>
            <w:r w:rsidR="0075501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ideally suited for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="0075501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student with a strong background in organi</w:t>
            </w:r>
            <w:r w:rsidR="00755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75501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synthesis, who want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75501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</w:t>
            </w:r>
            <w:r w:rsidR="00755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significantly expand</w:t>
            </w:r>
            <w:r w:rsidR="0075501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their </w:t>
            </w:r>
            <w:r w:rsidR="007550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experimental </w:t>
            </w:r>
            <w:r w:rsidR="0075501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 set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  <w:p w14:paraId="5E468881" w14:textId="657506AF" w:rsidR="007F3CD9" w:rsidRPr="00A80663" w:rsidRDefault="007F3CD9" w:rsidP="00AB7BF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95F66" w14:paraId="69A9B0F0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510FD40A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30" w:type="dxa"/>
          </w:tcPr>
          <w:p w14:paraId="67465B5F" w14:textId="04B5A639" w:rsidR="00B4262C" w:rsidRPr="002963E1" w:rsidRDefault="0098039B" w:rsidP="00B4262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Professor Gerd Wagner</w:t>
            </w:r>
          </w:p>
          <w:p w14:paraId="112C4041" w14:textId="77777777" w:rsidR="002963E1" w:rsidRPr="002963E1" w:rsidRDefault="002963E1">
            <w:pPr>
              <w:rPr>
                <w:rFonts w:ascii="Calibri" w:eastAsia="Calibri" w:hAnsi="Calibri"/>
              </w:rPr>
            </w:pPr>
          </w:p>
        </w:tc>
      </w:tr>
      <w:tr w:rsidR="007F3CD9" w14:paraId="7C3408A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2DF5D14A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30" w:type="dxa"/>
          </w:tcPr>
          <w:p w14:paraId="4A6ABF27" w14:textId="23B219FC" w:rsidR="007F3CD9" w:rsidRPr="007F3CD9" w:rsidRDefault="00FB30F4">
            <w:r>
              <w:t>UK/EU</w:t>
            </w:r>
          </w:p>
        </w:tc>
      </w:tr>
      <w:tr w:rsidR="007F3CD9" w14:paraId="3C146321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733C74BC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30" w:type="dxa"/>
          </w:tcPr>
          <w:p w14:paraId="7157458F" w14:textId="77777777" w:rsidR="007F3CD9" w:rsidRDefault="007C3A10">
            <w:r>
              <w:t>Northern Ireland</w:t>
            </w:r>
          </w:p>
        </w:tc>
      </w:tr>
      <w:tr w:rsidR="007F3CD9" w14:paraId="60EA7ABC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752BBD48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2A095A42" w14:textId="758EE8D1" w:rsidR="007F3CD9" w:rsidRPr="002059CD" w:rsidRDefault="00B4262C" w:rsidP="007F3CD9">
            <w:pPr>
              <w:rPr>
                <w:color w:val="000000" w:themeColor="text1"/>
              </w:rPr>
            </w:pPr>
            <w:r w:rsidRPr="002059CD">
              <w:rPr>
                <w:color w:val="000000" w:themeColor="text1"/>
              </w:rPr>
              <w:t xml:space="preserve">1 </w:t>
            </w:r>
            <w:r w:rsidR="00364D3A">
              <w:rPr>
                <w:color w:val="000000" w:themeColor="text1"/>
              </w:rPr>
              <w:t>October</w:t>
            </w:r>
            <w:r w:rsidR="0098039B" w:rsidRPr="002059CD">
              <w:rPr>
                <w:color w:val="000000" w:themeColor="text1"/>
              </w:rPr>
              <w:t xml:space="preserve"> </w:t>
            </w:r>
            <w:r w:rsidRPr="002059CD">
              <w:rPr>
                <w:color w:val="000000" w:themeColor="text1"/>
              </w:rPr>
              <w:t>202</w:t>
            </w:r>
            <w:r w:rsidR="00364D3A">
              <w:rPr>
                <w:color w:val="000000" w:themeColor="text1"/>
              </w:rPr>
              <w:t>1</w:t>
            </w:r>
          </w:p>
          <w:p w14:paraId="43D86D6B" w14:textId="77777777" w:rsidR="007F3CD9" w:rsidRPr="00FB30F4" w:rsidRDefault="007F3CD9" w:rsidP="003A76E9"/>
        </w:tc>
      </w:tr>
      <w:tr w:rsidR="007F3CD9" w14:paraId="3F89C38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E736879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30" w:type="dxa"/>
          </w:tcPr>
          <w:p w14:paraId="4C7BAC31" w14:textId="77777777" w:rsidR="007F3CD9" w:rsidRDefault="007C3A10">
            <w:r>
              <w:t>MHLS</w:t>
            </w:r>
          </w:p>
        </w:tc>
      </w:tr>
      <w:tr w:rsidR="007F3CD9" w14:paraId="34BD3B03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31E987D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30" w:type="dxa"/>
          </w:tcPr>
          <w:p w14:paraId="67CCBEB6" w14:textId="77777777" w:rsidR="007F3CD9" w:rsidRDefault="007C3A10">
            <w:r>
              <w:t>Pharmacy</w:t>
            </w:r>
          </w:p>
        </w:tc>
      </w:tr>
      <w:tr w:rsidR="001B792D" w14:paraId="07396A5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A8DB555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30" w:type="dxa"/>
          </w:tcPr>
          <w:p w14:paraId="09727684" w14:textId="0F75EDCA" w:rsidR="001B792D" w:rsidRDefault="00FB30F4">
            <w:r>
              <w:t>Chemistry, Medicinal Chemistry, Organic Chemistry, Chemical Biology, Pharmacy, Pharmaceutical Sciences</w:t>
            </w:r>
          </w:p>
        </w:tc>
      </w:tr>
      <w:tr w:rsidR="007F3CD9" w14:paraId="27DFB4E6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0B24568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121D7589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30" w:type="dxa"/>
          </w:tcPr>
          <w:p w14:paraId="0F32B894" w14:textId="4BCDFA0D" w:rsidR="007F3CD9" w:rsidRPr="007C3A10" w:rsidRDefault="007C3A10">
            <w:r w:rsidRPr="007C3A10">
              <w:rPr>
                <w:rFonts w:cs="Arial"/>
              </w:rPr>
              <w:t xml:space="preserve">Applicants should have a 1st or 2.1 honours degree (or equivalent) in a relevant subject. Relevant subjects include </w:t>
            </w:r>
            <w:r w:rsidR="00421CDB">
              <w:rPr>
                <w:rFonts w:cs="Arial"/>
              </w:rPr>
              <w:t xml:space="preserve">Chemistry, </w:t>
            </w:r>
            <w:r w:rsidRPr="007C3A10">
              <w:rPr>
                <w:rFonts w:cs="Arial"/>
              </w:rPr>
              <w:t>Pharmacy, Pharmaceutical Sciences, Biochemistry, Biological/Biomedical Sciences,</w:t>
            </w:r>
            <w:r w:rsidR="002F06D8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Engineering</w:t>
            </w:r>
            <w:r w:rsidR="00E41AE4"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7F3CD9" w14:paraId="3D141E0D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C2B98B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30" w:type="dxa"/>
          </w:tcPr>
          <w:p w14:paraId="3F8DC6E5" w14:textId="7B1DADD9" w:rsidR="007F3CD9" w:rsidRDefault="00364D3A">
            <w:proofErr w:type="spellStart"/>
            <w:r>
              <w:rPr>
                <w:color w:val="FF0000"/>
              </w:rPr>
              <w:t>tbd</w:t>
            </w:r>
            <w:proofErr w:type="spellEnd"/>
          </w:p>
        </w:tc>
      </w:tr>
      <w:tr w:rsidR="007F3CD9" w14:paraId="298C842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7D1B0EA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30" w:type="dxa"/>
          </w:tcPr>
          <w:p w14:paraId="527CD2D4" w14:textId="07FD0922" w:rsidR="007F3CD9" w:rsidRDefault="007F3CD9">
            <w:r w:rsidRPr="007F3CD9">
              <w:t>Postgraduate Research applicants</w:t>
            </w:r>
            <w:r w:rsidR="007C3A10">
              <w:t xml:space="preserve"> for</w:t>
            </w:r>
            <w:r w:rsidRPr="007F3CD9">
              <w:t xml:space="preserve"> </w:t>
            </w:r>
            <w:r w:rsidR="007C3A10">
              <w:t xml:space="preserve">Pharmacy </w:t>
            </w:r>
            <w:r w:rsidRPr="007F3CD9">
              <w:t xml:space="preserve">who are interested in applying for a fully funded </w:t>
            </w:r>
            <w:r w:rsidR="007C3A10">
              <w:t>DFE</w:t>
            </w:r>
            <w:r w:rsidRPr="007F3CD9">
              <w:t xml:space="preserve"> studentship must have applied to Queen’s, via the Direct Applications Portal, and submitted all required supporting documents by the closing date.</w:t>
            </w:r>
          </w:p>
          <w:p w14:paraId="19B0F658" w14:textId="77777777" w:rsidR="007F3CD9" w:rsidRDefault="007F3CD9"/>
          <w:p w14:paraId="34E753F4" w14:textId="77777777" w:rsidR="007F3CD9" w:rsidRDefault="00602396">
            <w:hyperlink r:id="rId10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</w:tc>
      </w:tr>
      <w:tr w:rsidR="007F3CD9" w14:paraId="2D75A840" w14:textId="77777777" w:rsidTr="00D447B1">
        <w:trPr>
          <w:trHeight w:val="1408"/>
        </w:trPr>
        <w:tc>
          <w:tcPr>
            <w:tcW w:w="1512" w:type="dxa"/>
            <w:shd w:val="clear" w:color="auto" w:fill="DEEAF6" w:themeFill="accent1" w:themeFillTint="33"/>
          </w:tcPr>
          <w:p w14:paraId="0EB6446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0169F4EA" w14:textId="77777777" w:rsidR="007F3CD9" w:rsidRDefault="007F3CD9"/>
        </w:tc>
        <w:tc>
          <w:tcPr>
            <w:tcW w:w="7730" w:type="dxa"/>
          </w:tcPr>
          <w:p w14:paraId="44B7F1DF" w14:textId="77777777" w:rsidR="00916B56" w:rsidRDefault="00916B56" w:rsidP="00916B56">
            <w:hyperlink r:id="rId11" w:history="1">
              <w:r w:rsidRPr="00117BA9">
                <w:rPr>
                  <w:rStyle w:val="Hyperlink"/>
                </w:rPr>
                <w:t>https://www.qub.ac.uk/schools/SchoolofPharmacy/Research/find-a-phd-supervisor/dr-gerd-wagner.html</w:t>
              </w:r>
            </w:hyperlink>
            <w:r>
              <w:t xml:space="preserve"> </w:t>
            </w:r>
          </w:p>
          <w:p w14:paraId="73A9D16F" w14:textId="54758FF3" w:rsidR="007F3CD9" w:rsidRDefault="00916B56">
            <w:hyperlink r:id="rId12" w:history="1">
              <w:r w:rsidRPr="00C9116B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76F25E0D" w14:textId="1954B968" w:rsidR="007C3A10" w:rsidRDefault="00916B56">
            <w:pPr>
              <w:rPr>
                <w:rStyle w:val="Hyperlink"/>
              </w:rPr>
            </w:pPr>
            <w:hyperlink r:id="rId13" w:history="1">
              <w:r w:rsidRPr="00C9116B">
                <w:rPr>
                  <w:rStyle w:val="Hyperlink"/>
                </w:rPr>
                <w:t>http://www.qub.ac.uk/schools/SchoolofPharmacy/Research/</w:t>
              </w:r>
            </w:hyperlink>
          </w:p>
          <w:p w14:paraId="384440C5" w14:textId="77777777" w:rsidR="007C3A10" w:rsidRDefault="007C3A10"/>
        </w:tc>
      </w:tr>
      <w:tr w:rsidR="001B792D" w14:paraId="65E7908E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5C45B32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30" w:type="dxa"/>
          </w:tcPr>
          <w:p w14:paraId="28EB4CA1" w14:textId="39DBF626" w:rsidR="001B792D" w:rsidRDefault="007A57D1" w:rsidP="00A70333">
            <w:pPr>
              <w:jc w:val="both"/>
            </w:pPr>
            <w:r>
              <w:t xml:space="preserve">organic synthesis, medicinal chemistry, chemical biology, </w:t>
            </w:r>
            <w:r w:rsidR="00364D3A">
              <w:t>carbohydrate chemistry, glycobiology</w:t>
            </w:r>
            <w:r>
              <w:t xml:space="preserve">, </w:t>
            </w:r>
            <w:r w:rsidR="00364D3A">
              <w:t xml:space="preserve">glycosyltransferase, </w:t>
            </w:r>
            <w:r>
              <w:t>multidisciplinary</w:t>
            </w:r>
          </w:p>
        </w:tc>
      </w:tr>
      <w:tr w:rsidR="001B792D" w14:paraId="1A6CABA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A19024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7423BF3E" w14:textId="66F7A368" w:rsidR="001D4BA3" w:rsidRPr="00214581" w:rsidRDefault="00DF4987" w:rsidP="00916B5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tudent</w:t>
            </w:r>
            <w:r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will receive in-depth training in a broad range of scientific techniques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in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medicinal chemistry and 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chemical biology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, including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rational inhibitor design, </w:t>
            </w:r>
            <w:r w:rsidR="001D4BA3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advanced organic synthesis (carbohydrate </w:t>
            </w:r>
            <w:r w:rsidR="00A80663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chemistry, 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nucleotides, </w:t>
            </w:r>
            <w:r w:rsidR="001D4BA3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heterocyclic chemistry),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protein biochemistry, enzymology, and assay development. The </w:t>
            </w:r>
            <w:r w:rsidR="00916B56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project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is</w:t>
            </w:r>
            <w:r w:rsidR="00916B56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highly collaborative</w:t>
            </w:r>
            <w:r w:rsidR="00A7033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: it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A7033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will give you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the opportunity to </w:t>
            </w:r>
            <w:r w:rsidR="00A7033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work with both internal and external partners</w:t>
            </w:r>
            <w:r w:rsidR="00A7033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and to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experience 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different research environments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. It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will </w:t>
            </w:r>
            <w:r w:rsidR="00916B56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also 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provide an ideal opportunity for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you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to acquire transferable and generic skills such as time/project management and organisational skills, and 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</w:rPr>
              <w:t xml:space="preserve">experience in </w:t>
            </w:r>
            <w:proofErr w:type="spellStart"/>
            <w:r w:rsidR="00916B56" w:rsidRPr="00206F8D">
              <w:rPr>
                <w:rFonts w:ascii="Calibri" w:hAnsi="Calibri" w:cs="Calibri"/>
                <w:bCs/>
                <w:sz w:val="22"/>
                <w:szCs w:val="22"/>
              </w:rPr>
              <w:t>commerciali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916B56" w:rsidRPr="00206F8D">
              <w:rPr>
                <w:rFonts w:ascii="Calibri" w:hAnsi="Calibri" w:cs="Calibri"/>
                <w:bCs/>
                <w:sz w:val="22"/>
                <w:szCs w:val="22"/>
              </w:rPr>
              <w:t>ation</w:t>
            </w:r>
            <w:proofErr w:type="spellEnd"/>
            <w:r w:rsidR="00916B56" w:rsidRPr="00206F8D">
              <w:rPr>
                <w:rFonts w:ascii="Calibri" w:hAnsi="Calibri" w:cs="Calibri"/>
                <w:bCs/>
                <w:sz w:val="22"/>
                <w:szCs w:val="22"/>
              </w:rPr>
              <w:t xml:space="preserve"> and science outreach.</w:t>
            </w:r>
          </w:p>
        </w:tc>
      </w:tr>
      <w:tr w:rsidR="001B792D" w14:paraId="3C419472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6010DF0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30" w:type="dxa"/>
          </w:tcPr>
          <w:p w14:paraId="018090D9" w14:textId="02703FA1" w:rsidR="00214581" w:rsidRPr="00A70333" w:rsidRDefault="00916B56" w:rsidP="00A70333">
            <w:pPr>
              <w:pStyle w:val="Header"/>
              <w:tabs>
                <w:tab w:val="clear" w:pos="4153"/>
                <w:tab w:val="clear" w:pos="8306"/>
                <w:tab w:val="left" w:pos="62"/>
                <w:tab w:val="left" w:pos="488"/>
              </w:tabs>
              <w:spacing w:after="120"/>
              <w:ind w:right="-13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 is anticipated that inhibitors developed in this project will create opportunities for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>knowledge transfer, translation, and commercialisation, e.g., in the areas of antibody engineering and drug discovery. The project w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ill also offer an opportunity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for the student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contribute to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a range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outreach activities such as the regular delivery of science workshops for school children and lay audiences.</w:t>
            </w:r>
          </w:p>
        </w:tc>
      </w:tr>
    </w:tbl>
    <w:p w14:paraId="3AE8BB6C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218"/>
    <w:multiLevelType w:val="hybridMultilevel"/>
    <w:tmpl w:val="3054767A"/>
    <w:lvl w:ilvl="0" w:tplc="CF2A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5A1"/>
    <w:multiLevelType w:val="hybridMultilevel"/>
    <w:tmpl w:val="8480B6FA"/>
    <w:lvl w:ilvl="0" w:tplc="DAE08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A3F4B"/>
    <w:rsid w:val="000B5232"/>
    <w:rsid w:val="000B5533"/>
    <w:rsid w:val="000C6238"/>
    <w:rsid w:val="000C6EFC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41D5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5F12"/>
    <w:rsid w:val="001C6CFE"/>
    <w:rsid w:val="001D4BA3"/>
    <w:rsid w:val="001D5A77"/>
    <w:rsid w:val="001E0C79"/>
    <w:rsid w:val="001E10DB"/>
    <w:rsid w:val="001E6AE7"/>
    <w:rsid w:val="001F273F"/>
    <w:rsid w:val="001F700A"/>
    <w:rsid w:val="0020192E"/>
    <w:rsid w:val="002059CD"/>
    <w:rsid w:val="0020699C"/>
    <w:rsid w:val="00206F8D"/>
    <w:rsid w:val="00211ADC"/>
    <w:rsid w:val="00214581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06BD"/>
    <w:rsid w:val="00286380"/>
    <w:rsid w:val="00287196"/>
    <w:rsid w:val="002963E1"/>
    <w:rsid w:val="002A0180"/>
    <w:rsid w:val="002A22B2"/>
    <w:rsid w:val="002A6F4F"/>
    <w:rsid w:val="002B644E"/>
    <w:rsid w:val="002B6455"/>
    <w:rsid w:val="002D5A44"/>
    <w:rsid w:val="002E0374"/>
    <w:rsid w:val="002E0A1B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64D3A"/>
    <w:rsid w:val="0037391E"/>
    <w:rsid w:val="00374800"/>
    <w:rsid w:val="00375356"/>
    <w:rsid w:val="00381594"/>
    <w:rsid w:val="003862E4"/>
    <w:rsid w:val="00394631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21CDB"/>
    <w:rsid w:val="004242F1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14B9"/>
    <w:rsid w:val="00527250"/>
    <w:rsid w:val="0053253B"/>
    <w:rsid w:val="0053628D"/>
    <w:rsid w:val="00541A46"/>
    <w:rsid w:val="00550AAE"/>
    <w:rsid w:val="00553AB1"/>
    <w:rsid w:val="00567EBE"/>
    <w:rsid w:val="00576E8A"/>
    <w:rsid w:val="0058648B"/>
    <w:rsid w:val="00590594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02396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5011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975BD"/>
    <w:rsid w:val="007A57D1"/>
    <w:rsid w:val="007B185B"/>
    <w:rsid w:val="007B1FB4"/>
    <w:rsid w:val="007B2C32"/>
    <w:rsid w:val="007B515E"/>
    <w:rsid w:val="007B5CF8"/>
    <w:rsid w:val="007B6E4A"/>
    <w:rsid w:val="007C02AF"/>
    <w:rsid w:val="007C3A10"/>
    <w:rsid w:val="007D2A36"/>
    <w:rsid w:val="007E0D0E"/>
    <w:rsid w:val="007E6E7C"/>
    <w:rsid w:val="007E7F5A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2066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16B56"/>
    <w:rsid w:val="00925FA3"/>
    <w:rsid w:val="009279B9"/>
    <w:rsid w:val="009453CE"/>
    <w:rsid w:val="0095334C"/>
    <w:rsid w:val="00956BE2"/>
    <w:rsid w:val="00957551"/>
    <w:rsid w:val="00960566"/>
    <w:rsid w:val="0098039B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0333"/>
    <w:rsid w:val="00A768A4"/>
    <w:rsid w:val="00A80663"/>
    <w:rsid w:val="00A907D7"/>
    <w:rsid w:val="00A90948"/>
    <w:rsid w:val="00A946F0"/>
    <w:rsid w:val="00AA53C1"/>
    <w:rsid w:val="00AB4CB5"/>
    <w:rsid w:val="00AB5910"/>
    <w:rsid w:val="00AB72A5"/>
    <w:rsid w:val="00AB76CD"/>
    <w:rsid w:val="00AB7BF5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E346B"/>
    <w:rsid w:val="00BF08BD"/>
    <w:rsid w:val="00BF17EC"/>
    <w:rsid w:val="00BF4B26"/>
    <w:rsid w:val="00BF57DC"/>
    <w:rsid w:val="00C12418"/>
    <w:rsid w:val="00C2183A"/>
    <w:rsid w:val="00C263B0"/>
    <w:rsid w:val="00C26FCD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447B1"/>
    <w:rsid w:val="00D5030D"/>
    <w:rsid w:val="00D5690F"/>
    <w:rsid w:val="00D57854"/>
    <w:rsid w:val="00D64E36"/>
    <w:rsid w:val="00D73888"/>
    <w:rsid w:val="00D804A3"/>
    <w:rsid w:val="00D80D41"/>
    <w:rsid w:val="00D82FEF"/>
    <w:rsid w:val="00D91A1F"/>
    <w:rsid w:val="00D977D0"/>
    <w:rsid w:val="00DA1F5E"/>
    <w:rsid w:val="00DA3F99"/>
    <w:rsid w:val="00DB009E"/>
    <w:rsid w:val="00DB437C"/>
    <w:rsid w:val="00DB450E"/>
    <w:rsid w:val="00DB709B"/>
    <w:rsid w:val="00DC0BEB"/>
    <w:rsid w:val="00DC5B83"/>
    <w:rsid w:val="00DD1D77"/>
    <w:rsid w:val="00DD6932"/>
    <w:rsid w:val="00DF148B"/>
    <w:rsid w:val="00DF4987"/>
    <w:rsid w:val="00E11BB2"/>
    <w:rsid w:val="00E166B5"/>
    <w:rsid w:val="00E177D8"/>
    <w:rsid w:val="00E2148C"/>
    <w:rsid w:val="00E27D11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C6F3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2645B"/>
    <w:rsid w:val="00F276FA"/>
    <w:rsid w:val="00F333AB"/>
    <w:rsid w:val="00F376E8"/>
    <w:rsid w:val="00F45400"/>
    <w:rsid w:val="00F52902"/>
    <w:rsid w:val="00F53AD2"/>
    <w:rsid w:val="00F61002"/>
    <w:rsid w:val="00F71AC1"/>
    <w:rsid w:val="00F74680"/>
    <w:rsid w:val="00F76DAC"/>
    <w:rsid w:val="00F81886"/>
    <w:rsid w:val="00F82BDB"/>
    <w:rsid w:val="00F848EA"/>
    <w:rsid w:val="00F90DB4"/>
    <w:rsid w:val="00FB30F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22A34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7F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206F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06F8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Gerd Wagner</cp:lastModifiedBy>
  <cp:revision>18</cp:revision>
  <cp:lastPrinted>2019-11-05T17:12:00Z</cp:lastPrinted>
  <dcterms:created xsi:type="dcterms:W3CDTF">2019-10-28T10:55:00Z</dcterms:created>
  <dcterms:modified xsi:type="dcterms:W3CDTF">2020-11-06T16:05:00Z</dcterms:modified>
</cp:coreProperties>
</file>