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6E4A2268" w:rsidR="001B5748" w:rsidRDefault="0029066D" w:rsidP="0029066D">
            <w:r>
              <w:t>3D-printing of medical devices to treat cardiovascular disease</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995C56D" w14:textId="77777777" w:rsidR="007E0599" w:rsidRDefault="007E0599" w:rsidP="00317C62"/>
        </w:tc>
      </w:tr>
      <w:tr w:rsidR="007E0599" w14:paraId="694401E5" w14:textId="77777777" w:rsidTr="007E0599">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789" w:type="dxa"/>
          </w:tcPr>
          <w:p w14:paraId="65D9A2B6" w14:textId="27D27D79" w:rsidR="007E0599" w:rsidRDefault="007E0599" w:rsidP="007E0599"/>
        </w:tc>
        <w:bookmarkStart w:id="0" w:name="_GoBack"/>
        <w:bookmarkEnd w:id="0"/>
      </w:tr>
      <w:tr w:rsidR="007E0599" w14:paraId="5E50BAF4" w14:textId="77777777" w:rsidTr="007E0599">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789" w:type="dxa"/>
          </w:tcPr>
          <w:p w14:paraId="1BB087A6" w14:textId="51244387" w:rsidR="007E0599" w:rsidRDefault="007E0599" w:rsidP="007E0599"/>
        </w:tc>
      </w:tr>
      <w:tr w:rsidR="003F1182" w14:paraId="67E34D74" w14:textId="77777777" w:rsidTr="007E0599">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7789" w:type="dxa"/>
          </w:tcPr>
          <w:p w14:paraId="12AAD0C0" w14:textId="140F6366" w:rsidR="0029066D" w:rsidRDefault="0029066D" w:rsidP="0029066D">
            <w:r>
              <w:t xml:space="preserve">Cardiovascular Disease is the leading cause of death worldwide requiring millions of vascular bypass/replacement surgeries each year. Bypass surgery requires the incorporation of blood vessels to circumvent blocked arteries using blood vessels harvested from the patient, which is unsuitable for a large number of patients. Synthetic vascular-grafts can be use, however, they have low success rate. Therefore, this project proposes an interdisciplinary approach to tackle this problem. A 3D-bioprinter </w:t>
            </w:r>
            <w:proofErr w:type="gramStart"/>
            <w:r>
              <w:t>will be used</w:t>
            </w:r>
            <w:proofErr w:type="gramEnd"/>
            <w:r>
              <w:t xml:space="preserve"> to build synthetic blood vessels loaded with </w:t>
            </w:r>
            <w:r>
              <w:t xml:space="preserve">drugs and containing </w:t>
            </w:r>
            <w:r>
              <w:t>stem cells. These artificial blood vessels will provide a structure for the cells to form new blood vessels and subsequently will be biodegraded leaving a new functional blood vessel.</w:t>
            </w:r>
            <w:r>
              <w:t xml:space="preserve"> The devices will contain drugs to prevent blood clot formation.</w:t>
            </w:r>
          </w:p>
          <w:p w14:paraId="3E170003" w14:textId="77777777" w:rsidR="0029066D" w:rsidRDefault="0029066D" w:rsidP="0029066D"/>
          <w:p w14:paraId="237558FB" w14:textId="136837A7" w:rsidR="003F1182" w:rsidRDefault="0029066D" w:rsidP="0029066D">
            <w:r>
              <w:t xml:space="preserve">The first stage of the project will cover the design and manufacturing of these blood vessels. This first part will cover disciplines such as 3D-design, material sciences, advance manufacturing techniques and chemistry. On the other hand, the second part of the project anticoagulant drugs </w:t>
            </w:r>
            <w:proofErr w:type="gramStart"/>
            <w:r>
              <w:t>will be incorporated</w:t>
            </w:r>
            <w:proofErr w:type="gramEnd"/>
            <w:r>
              <w:t xml:space="preserve"> into the 3D-printed vascular grafts incorporating a pharmaceutical sciences angle to the project. The third part of the project will evaluate the incorporation of organoids generated from cells provided by donors into the vascular grafts. This part of the project will rely heavily on tissue culture, biological methods including in vivo studies.</w:t>
            </w:r>
          </w:p>
        </w:tc>
      </w:tr>
      <w:tr w:rsidR="003F1182" w14:paraId="10C0BBE2" w14:textId="77777777" w:rsidTr="007E0599">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7789" w:type="dxa"/>
          </w:tcPr>
          <w:p w14:paraId="489ED791" w14:textId="3C394EB3" w:rsidR="003F1182" w:rsidRPr="007F3CD9" w:rsidRDefault="0029066D" w:rsidP="003F1182">
            <w:proofErr w:type="spellStart"/>
            <w:r>
              <w:t>Dr.</w:t>
            </w:r>
            <w:proofErr w:type="spellEnd"/>
            <w:r>
              <w:t xml:space="preserve"> Eneko Larrañeta</w:t>
            </w:r>
          </w:p>
        </w:tc>
      </w:tr>
      <w:tr w:rsidR="003F1182" w14:paraId="2D0B7AA3" w14:textId="77777777" w:rsidTr="007E0599">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7789" w:type="dxa"/>
          </w:tcPr>
          <w:p w14:paraId="59910F79" w14:textId="230D6ED8" w:rsidR="003F1182" w:rsidRPr="007F3CD9" w:rsidRDefault="0029066D" w:rsidP="003F1182">
            <w:r>
              <w:t>UK</w:t>
            </w:r>
          </w:p>
        </w:tc>
      </w:tr>
      <w:tr w:rsidR="003F1182" w14:paraId="113345A0" w14:textId="77777777" w:rsidTr="007E0599">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7789" w:type="dxa"/>
          </w:tcPr>
          <w:p w14:paraId="5A4481C5" w14:textId="00BE3D46" w:rsidR="003F1182" w:rsidRDefault="0029066D" w:rsidP="003F1182">
            <w:r>
              <w:t>Northern Ireland</w:t>
            </w:r>
          </w:p>
        </w:tc>
      </w:tr>
      <w:tr w:rsidR="003F1182" w14:paraId="78BDF1FD" w14:textId="77777777" w:rsidTr="007E0599">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7789" w:type="dxa"/>
          </w:tcPr>
          <w:p w14:paraId="6CB32704" w14:textId="278EBD70" w:rsidR="0029066D" w:rsidRDefault="0029066D" w:rsidP="0029066D">
            <w:r>
              <w:t>1 October 2021</w:t>
            </w:r>
            <w:r>
              <w:t xml:space="preserve"> (36 months)</w:t>
            </w:r>
          </w:p>
          <w:p w14:paraId="72C13292" w14:textId="7C416CFF" w:rsidR="003F1182" w:rsidRDefault="003F1182" w:rsidP="003F1182"/>
        </w:tc>
      </w:tr>
      <w:tr w:rsidR="003F1182" w14:paraId="5BE00321" w14:textId="77777777" w:rsidTr="007E0599">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7789" w:type="dxa"/>
          </w:tcPr>
          <w:p w14:paraId="5FEE8137" w14:textId="4CDD1F1D" w:rsidR="003F1182" w:rsidRDefault="0029066D" w:rsidP="003F1182">
            <w:r>
              <w:t>MHLS</w:t>
            </w:r>
          </w:p>
        </w:tc>
      </w:tr>
      <w:tr w:rsidR="003F1182" w14:paraId="2FD6EA6E" w14:textId="77777777" w:rsidTr="007E0599">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lastRenderedPageBreak/>
              <w:t>*</w:t>
            </w:r>
            <w:r w:rsidRPr="007F3CD9">
              <w:rPr>
                <w:b/>
              </w:rPr>
              <w:t>Research centre / School</w:t>
            </w:r>
          </w:p>
        </w:tc>
        <w:tc>
          <w:tcPr>
            <w:tcW w:w="7789" w:type="dxa"/>
          </w:tcPr>
          <w:p w14:paraId="59A1D0DF" w14:textId="0760248C" w:rsidR="003F1182" w:rsidRDefault="00317C62" w:rsidP="003F1182">
            <w:r>
              <w:t>School of Pharmacy</w:t>
            </w:r>
          </w:p>
        </w:tc>
      </w:tr>
      <w:tr w:rsidR="003F1182" w14:paraId="7931EE40" w14:textId="77777777" w:rsidTr="007E0599">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7789" w:type="dxa"/>
          </w:tcPr>
          <w:p w14:paraId="2083BE8D" w14:textId="60E42F22" w:rsidR="003F1182" w:rsidRDefault="0029066D" w:rsidP="003F1182">
            <w:r>
              <w:t>Drug delivery and medical devices</w:t>
            </w:r>
          </w:p>
        </w:tc>
      </w:tr>
      <w:tr w:rsidR="003F1182" w14:paraId="4927DD08" w14:textId="77777777" w:rsidTr="007E0599">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7789"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3F1182" w14:paraId="0165EAEE" w14:textId="77777777" w:rsidTr="007E0599">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7789" w:type="dxa"/>
          </w:tcPr>
          <w:p w14:paraId="492A9368" w14:textId="77777777" w:rsidR="003F1182" w:rsidRDefault="003F1182" w:rsidP="003F1182"/>
        </w:tc>
      </w:tr>
      <w:tr w:rsidR="003F1182" w14:paraId="3DA8871F" w14:textId="77777777" w:rsidTr="007E0599">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7789" w:type="dxa"/>
          </w:tcPr>
          <w:p w14:paraId="16688B16" w14:textId="77777777" w:rsidR="003F1182" w:rsidRDefault="003F1182" w:rsidP="003F1182">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3F1182" w:rsidRDefault="003F1182" w:rsidP="003F1182"/>
          <w:p w14:paraId="4F2E48B7" w14:textId="77777777" w:rsidR="003F1182" w:rsidRDefault="00E43127"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E0599">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7789" w:type="dxa"/>
          </w:tcPr>
          <w:p w14:paraId="29E92652" w14:textId="77777777" w:rsidR="003F1182" w:rsidRDefault="003F1182" w:rsidP="003F1182"/>
          <w:p w14:paraId="706FD4C7" w14:textId="77777777" w:rsidR="003F1182" w:rsidRDefault="00E43127"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77777777" w:rsidR="003F1182" w:rsidRDefault="00E43127" w:rsidP="003F1182">
            <w:pPr>
              <w:rPr>
                <w:rStyle w:val="Hyperlink"/>
              </w:rPr>
            </w:pPr>
            <w:hyperlink r:id="rId7" w:history="1">
              <w:r w:rsidR="003F1182" w:rsidRPr="00810712">
                <w:rPr>
                  <w:rStyle w:val="Hyperlink"/>
                </w:rPr>
                <w:t>http://www.qub.ac.uk/schools/SchoolofPharmacy/Research/</w:t>
              </w:r>
            </w:hyperlink>
          </w:p>
          <w:p w14:paraId="11CE7459" w14:textId="77777777" w:rsidR="003F1182" w:rsidRDefault="003F1182" w:rsidP="00317C62"/>
          <w:p w14:paraId="38522DE2" w14:textId="77777777" w:rsidR="0029066D" w:rsidRDefault="0029066D" w:rsidP="0029066D">
            <w:hyperlink r:id="rId8" w:history="1">
              <w:r w:rsidRPr="00A6074B">
                <w:rPr>
                  <w:rStyle w:val="Hyperlink"/>
                </w:rPr>
                <w:t>https://pure.qub.ac.uk/en/persons/eneko-larra%25C3%25B1eta</w:t>
              </w:r>
            </w:hyperlink>
          </w:p>
          <w:p w14:paraId="5C254CDF" w14:textId="0410C126" w:rsidR="0029066D" w:rsidRDefault="0029066D" w:rsidP="00317C62"/>
        </w:tc>
      </w:tr>
      <w:tr w:rsidR="0029066D" w14:paraId="6FA54374" w14:textId="77777777" w:rsidTr="007E0599">
        <w:trPr>
          <w:trHeight w:val="576"/>
        </w:trPr>
        <w:tc>
          <w:tcPr>
            <w:tcW w:w="1522" w:type="dxa"/>
            <w:shd w:val="clear" w:color="auto" w:fill="DEEAF6" w:themeFill="accent1" w:themeFillTint="33"/>
          </w:tcPr>
          <w:p w14:paraId="6FA9BAAB" w14:textId="77777777" w:rsidR="0029066D" w:rsidRDefault="0029066D" w:rsidP="0029066D">
            <w:pPr>
              <w:rPr>
                <w:b/>
              </w:rPr>
            </w:pPr>
            <w:r>
              <w:rPr>
                <w:b/>
              </w:rPr>
              <w:t>Keywords for search filters</w:t>
            </w:r>
          </w:p>
        </w:tc>
        <w:tc>
          <w:tcPr>
            <w:tcW w:w="7789" w:type="dxa"/>
          </w:tcPr>
          <w:p w14:paraId="5D6B122D" w14:textId="0772673B" w:rsidR="0029066D" w:rsidRDefault="0029066D" w:rsidP="0029066D">
            <w:r>
              <w:t>3D printing / drug delivery / tissue engineering / medical devices</w:t>
            </w:r>
          </w:p>
        </w:tc>
      </w:tr>
      <w:tr w:rsidR="0029066D" w14:paraId="46E95240" w14:textId="77777777" w:rsidTr="007E0599">
        <w:trPr>
          <w:trHeight w:val="470"/>
        </w:trPr>
        <w:tc>
          <w:tcPr>
            <w:tcW w:w="1522" w:type="dxa"/>
            <w:shd w:val="clear" w:color="auto" w:fill="DEEAF6" w:themeFill="accent1" w:themeFillTint="33"/>
          </w:tcPr>
          <w:p w14:paraId="3219A3B1" w14:textId="77777777" w:rsidR="0029066D" w:rsidRDefault="0029066D" w:rsidP="0029066D">
            <w:pPr>
              <w:rPr>
                <w:b/>
              </w:rPr>
            </w:pPr>
            <w:r>
              <w:rPr>
                <w:b/>
              </w:rPr>
              <w:t>Training provided through the research project</w:t>
            </w:r>
          </w:p>
        </w:tc>
        <w:tc>
          <w:tcPr>
            <w:tcW w:w="7789" w:type="dxa"/>
          </w:tcPr>
          <w:p w14:paraId="02EC8650" w14:textId="2C83F1AE" w:rsidR="0029066D" w:rsidRDefault="0029066D" w:rsidP="00E43127">
            <w:r w:rsidRPr="0058176A">
              <w:t>This interdisciplinary project will provide training in a range of analytical methods, design</w:t>
            </w:r>
            <w:r>
              <w:t>, manufacture</w:t>
            </w:r>
            <w:r w:rsidRPr="0058176A">
              <w:t xml:space="preserve"> and assessment of novel </w:t>
            </w:r>
            <w:r w:rsidR="00E43127">
              <w:t>medical devices</w:t>
            </w:r>
            <w:r w:rsidRPr="0058176A">
              <w:t xml:space="preserve"> and biological models for assessment of the potential clinical efficacy of formulations. Furthermore, student training will take place within a highly active international research culture. In addition to laboratory based-skills, the student will also undergo training in research methodology and statistics and will have opportunities to develop both verbal and written communication skills.</w:t>
            </w:r>
            <w:r>
              <w:t xml:space="preserve"> The student will publish their research in journal articles and present at both national and international conferences. The student will also have the opportunity to actively participate in a range of outreach activities in the community and gain teaching experience on our undergraduate and postgraduate courses.</w:t>
            </w:r>
          </w:p>
        </w:tc>
      </w:tr>
      <w:tr w:rsidR="0029066D" w14:paraId="731DC994" w14:textId="77777777" w:rsidTr="007E0599">
        <w:trPr>
          <w:trHeight w:val="470"/>
        </w:trPr>
        <w:tc>
          <w:tcPr>
            <w:tcW w:w="1522" w:type="dxa"/>
            <w:shd w:val="clear" w:color="auto" w:fill="DEEAF6" w:themeFill="accent1" w:themeFillTint="33"/>
          </w:tcPr>
          <w:p w14:paraId="00053B05" w14:textId="77777777" w:rsidR="0029066D" w:rsidRDefault="0029066D" w:rsidP="0029066D">
            <w:pPr>
              <w:rPr>
                <w:b/>
              </w:rPr>
            </w:pPr>
            <w:r>
              <w:rPr>
                <w:b/>
              </w:rPr>
              <w:t>Expected impact activities</w:t>
            </w:r>
          </w:p>
        </w:tc>
        <w:tc>
          <w:tcPr>
            <w:tcW w:w="7789" w:type="dxa"/>
          </w:tcPr>
          <w:p w14:paraId="27B558D6" w14:textId="364F8FBD" w:rsidR="0029066D" w:rsidRDefault="0029066D" w:rsidP="0029066D">
            <w:r w:rsidRPr="0058176A">
              <w:t xml:space="preserve">Enhanced patient care and quality of life, economic development for the pharmaceutical and medical devices industry. </w:t>
            </w:r>
            <w:r>
              <w:t>The student’s CV will be enhanced through training with a leading international Group</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035F4"/>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663D0"/>
    <w:rsid w:val="002679A5"/>
    <w:rsid w:val="00270CA4"/>
    <w:rsid w:val="00275E36"/>
    <w:rsid w:val="00276A24"/>
    <w:rsid w:val="00286380"/>
    <w:rsid w:val="00287196"/>
    <w:rsid w:val="0029066D"/>
    <w:rsid w:val="002963E1"/>
    <w:rsid w:val="002A0180"/>
    <w:rsid w:val="002A22B2"/>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3127"/>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1555">
      <w:bodyDiv w:val="1"/>
      <w:marLeft w:val="0"/>
      <w:marRight w:val="0"/>
      <w:marTop w:val="0"/>
      <w:marBottom w:val="0"/>
      <w:divBdr>
        <w:top w:val="none" w:sz="0" w:space="0" w:color="auto"/>
        <w:left w:val="none" w:sz="0" w:space="0" w:color="auto"/>
        <w:bottom w:val="none" w:sz="0" w:space="0" w:color="auto"/>
        <w:right w:val="none" w:sz="0" w:space="0" w:color="auto"/>
      </w:divBdr>
      <w:divsChild>
        <w:div w:id="1289893456">
          <w:marLeft w:val="0"/>
          <w:marRight w:val="0"/>
          <w:marTop w:val="0"/>
          <w:marBottom w:val="0"/>
          <w:divBdr>
            <w:top w:val="none" w:sz="0" w:space="0" w:color="auto"/>
            <w:left w:val="none" w:sz="0" w:space="0" w:color="auto"/>
            <w:bottom w:val="none" w:sz="0" w:space="0" w:color="auto"/>
            <w:right w:val="none" w:sz="0" w:space="0" w:color="auto"/>
          </w:divBdr>
        </w:div>
        <w:div w:id="76415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qub.ac.uk/en/persons/eneko-larra%25C3%25B1eta"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Eneko Larraneta Landa</cp:lastModifiedBy>
  <cp:revision>2</cp:revision>
  <dcterms:created xsi:type="dcterms:W3CDTF">2020-11-05T16:14:00Z</dcterms:created>
  <dcterms:modified xsi:type="dcterms:W3CDTF">2020-11-05T16:14:00Z</dcterms:modified>
</cp:coreProperties>
</file>