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3DAC" w14:textId="5742992C" w:rsidR="002E0374" w:rsidRDefault="007F3CD9" w:rsidP="007F3CD9">
      <w:pPr>
        <w:pStyle w:val="Heading1"/>
      </w:pPr>
      <w:r>
        <w:t>PGR Studentship Information Template</w:t>
      </w:r>
      <w:r w:rsidR="00B44FF9">
        <w:t xml:space="preserve"> 20</w:t>
      </w:r>
      <w:r w:rsidR="00B4262C">
        <w:t>2</w:t>
      </w:r>
      <w:r w:rsidR="00317C62">
        <w:t>1</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918" w:type="dxa"/>
        <w:tblLook w:val="04A0" w:firstRow="1" w:lastRow="0" w:firstColumn="1" w:lastColumn="0" w:noHBand="0" w:noVBand="1"/>
      </w:tblPr>
      <w:tblGrid>
        <w:gridCol w:w="1522"/>
        <w:gridCol w:w="8396"/>
      </w:tblGrid>
      <w:tr w:rsidR="007E0599" w14:paraId="470BFEBC" w14:textId="77777777" w:rsidTr="00773C9D">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8396" w:type="dxa"/>
          </w:tcPr>
          <w:p w14:paraId="09B9EC08" w14:textId="16BC2699" w:rsidR="00830A08" w:rsidRPr="007A73EB" w:rsidRDefault="004E1ED1" w:rsidP="007A73EB">
            <w:pPr>
              <w:rPr>
                <w:rFonts w:cstheme="minorHAnsi"/>
                <w:b/>
                <w:bCs/>
                <w:sz w:val="24"/>
                <w:szCs w:val="24"/>
              </w:rPr>
            </w:pPr>
            <w:r>
              <w:rPr>
                <w:rFonts w:cstheme="minorHAnsi"/>
                <w:b/>
                <w:bCs/>
                <w:sz w:val="24"/>
                <w:szCs w:val="24"/>
              </w:rPr>
              <w:t>Developing a controlled release biodegradable platform for nanomedicine delivery</w:t>
            </w:r>
          </w:p>
          <w:p w14:paraId="3E2FB3A8" w14:textId="2AE82B51" w:rsidR="001B5748" w:rsidRDefault="001B5748" w:rsidP="001B5748"/>
        </w:tc>
      </w:tr>
      <w:tr w:rsidR="007E0599" w14:paraId="31C3D3B2" w14:textId="77777777" w:rsidTr="00773C9D">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8396" w:type="dxa"/>
          </w:tcPr>
          <w:p w14:paraId="6995C56D" w14:textId="4F2BA8AB" w:rsidR="007E0599" w:rsidRDefault="007E0599" w:rsidP="00317C62"/>
        </w:tc>
      </w:tr>
      <w:tr w:rsidR="007E0599" w14:paraId="694401E5" w14:textId="77777777" w:rsidTr="00773C9D">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8396" w:type="dxa"/>
          </w:tcPr>
          <w:p w14:paraId="65D9A2B6" w14:textId="27D27D79" w:rsidR="007E0599" w:rsidRDefault="007E0599" w:rsidP="007E0599"/>
        </w:tc>
      </w:tr>
      <w:tr w:rsidR="007E0599" w14:paraId="5E50BAF4" w14:textId="77777777" w:rsidTr="00773C9D">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8396" w:type="dxa"/>
          </w:tcPr>
          <w:p w14:paraId="1BB087A6" w14:textId="51244387" w:rsidR="007E0599" w:rsidRDefault="007E0599" w:rsidP="007E0599"/>
        </w:tc>
      </w:tr>
      <w:tr w:rsidR="003F1182" w14:paraId="67E34D74" w14:textId="77777777" w:rsidTr="00773C9D">
        <w:trPr>
          <w:trHeight w:val="1412"/>
        </w:trPr>
        <w:tc>
          <w:tcPr>
            <w:tcW w:w="1522" w:type="dxa"/>
            <w:shd w:val="clear" w:color="auto" w:fill="DEEAF6" w:themeFill="accent1" w:themeFillTint="33"/>
          </w:tcPr>
          <w:p w14:paraId="5A20FFB3" w14:textId="77777777" w:rsidR="003F1182" w:rsidRPr="007F3CD9" w:rsidRDefault="003F1182" w:rsidP="003F1182">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8396" w:type="dxa"/>
          </w:tcPr>
          <w:p w14:paraId="70F6C2E6" w14:textId="77777777" w:rsidR="00B5079E" w:rsidRDefault="00B5079E" w:rsidP="00B5079E">
            <w:pPr>
              <w:jc w:val="both"/>
            </w:pPr>
            <w:r>
              <w:t xml:space="preserve">Approximately 20-30% of prostate cancer (PC) patients initially diagnosed with intermediate favourable disease will develop treatment failure. However, innovative treatments would help improve cure rates. Heavy metal nanoparticles (e.g. gold) enhance effectiveness of radiotherapy, by compressing the radiation dose deposition field, limiting damage to normal tissue. The clinical potential of metal nanoparticles as radiosensitisers are now emerging (Act.In.Sarc (phase 2/3) and NANO-RAD (phase 1)). Indeed, a recent Lancet Oncology communication reported a 50% increase in complete pathological response of soft tissue sarcomas when radiotherapy was combined with metal nanoparticles (Act.In.Sarc). </w:t>
            </w:r>
            <w:r w:rsidRPr="00453782">
              <w:rPr>
                <w:b/>
              </w:rPr>
              <w:t>Despite these advancements, maximum nanoparticle radiosensitisation is limited by two</w:t>
            </w:r>
            <w:r>
              <w:rPr>
                <w:b/>
              </w:rPr>
              <w:t xml:space="preserve"> confounding factors, poor intra-</w:t>
            </w:r>
            <w:r w:rsidRPr="00453782">
              <w:rPr>
                <w:b/>
              </w:rPr>
              <w:t>tumoural and poor intra-cellular delivery.</w:t>
            </w:r>
            <w:r>
              <w:t xml:space="preserve"> Utilising the RALA drug delivery system, Coulter and McCarthy have developed a combined gold nanoparticle formulation (RALA/AuNP) capable of delivering the gold nanoparticle directly to the nucleus, resulting in highly significant increases in tumour radiation sensitivity. This clearly addresses the problem of intra-cellular delivery. </w:t>
            </w:r>
          </w:p>
          <w:p w14:paraId="53758D06" w14:textId="77777777" w:rsidR="00B5079E" w:rsidRDefault="00B5079E" w:rsidP="00B5079E">
            <w:pPr>
              <w:jc w:val="both"/>
            </w:pPr>
          </w:p>
          <w:p w14:paraId="459FE578" w14:textId="1A8AA200" w:rsidR="00B5079E" w:rsidRDefault="00B5079E" w:rsidP="00B5079E">
            <w:pPr>
              <w:jc w:val="both"/>
            </w:pPr>
            <w:r>
              <w:t xml:space="preserve">This project will address the issue of poor intra-tumoural delivery though the development of a novel controlled release (CR) platform, impregnated with RALA/AuNP. Using materials such as biodegradable hydrogels or electrospun nano-fibres, the appointed student will characterise RALA/AuNP loading and release rates, aiming to achieve release characteristics that align with clinical radiotherapy treatment plans. Furthermore, the student will undertake a range of established </w:t>
            </w:r>
            <w:r>
              <w:rPr>
                <w:i/>
              </w:rPr>
              <w:t xml:space="preserve">in vitro </w:t>
            </w:r>
            <w:r>
              <w:t xml:space="preserve">and </w:t>
            </w:r>
            <w:r>
              <w:rPr>
                <w:i/>
              </w:rPr>
              <w:t xml:space="preserve">in vivo </w:t>
            </w:r>
            <w:r>
              <w:t>cell and molecular biology based assays to established the effectiveness of the released nanoparticles as effective anti-cancer agents.</w:t>
            </w:r>
            <w:r w:rsidRPr="00C00B24">
              <w:t xml:space="preserve"> </w:t>
            </w:r>
          </w:p>
          <w:p w14:paraId="00F33853" w14:textId="77777777" w:rsidR="00B5079E" w:rsidRDefault="00B5079E" w:rsidP="00B5079E">
            <w:pPr>
              <w:jc w:val="both"/>
            </w:pPr>
          </w:p>
          <w:p w14:paraId="237558FB" w14:textId="43B3D916" w:rsidR="003F1182" w:rsidRDefault="00B5079E" w:rsidP="00B5079E">
            <w:pPr>
              <w:jc w:val="both"/>
            </w:pPr>
            <w:r w:rsidRPr="00A346CC">
              <w:t>This projects forms part of an exciting collaborative partnership between</w:t>
            </w:r>
            <w:r>
              <w:t xml:space="preserve"> Dr Jonathan Coulter, a prostate cancer expert in translational medicine and Professor McCarthy, a nucleic acids drug delivery expert and CEO of Phion Therapeutics. </w:t>
            </w:r>
          </w:p>
        </w:tc>
      </w:tr>
      <w:tr w:rsidR="003F1182" w14:paraId="10C0BBE2" w14:textId="77777777" w:rsidTr="00773C9D">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8396" w:type="dxa"/>
          </w:tcPr>
          <w:p w14:paraId="489ED791" w14:textId="70627AF9" w:rsidR="003F1182" w:rsidRPr="007F3CD9" w:rsidRDefault="007A73EB" w:rsidP="003F1182">
            <w:r>
              <w:t>Dr Jonathan Coulter</w:t>
            </w:r>
            <w:r w:rsidR="00B5079E">
              <w:t xml:space="preserve"> &amp; Professor Helen McCarthy</w:t>
            </w:r>
          </w:p>
        </w:tc>
      </w:tr>
      <w:tr w:rsidR="003F1182" w14:paraId="2D0B7AA3" w14:textId="77777777" w:rsidTr="00773C9D">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8396" w:type="dxa"/>
          </w:tcPr>
          <w:p w14:paraId="59910F79" w14:textId="78EAB01F" w:rsidR="003F1182" w:rsidRPr="007F3CD9" w:rsidRDefault="00773C9D" w:rsidP="003F1182">
            <w:r>
              <w:t>Home</w:t>
            </w:r>
            <w:r w:rsidR="00B25E6E">
              <w:t xml:space="preserve"> (DfE Scholarship deadline 8</w:t>
            </w:r>
            <w:r w:rsidR="00B25E6E" w:rsidRPr="00B25E6E">
              <w:rPr>
                <w:vertAlign w:val="superscript"/>
              </w:rPr>
              <w:t>th</w:t>
            </w:r>
            <w:r w:rsidR="00B25E6E">
              <w:t xml:space="preserve"> January 2021)</w:t>
            </w:r>
            <w:r w:rsidR="00B5079E">
              <w:t xml:space="preserve">, International Scholarship, International self-funding </w:t>
            </w:r>
            <w:r>
              <w:t xml:space="preserve"> </w:t>
            </w:r>
          </w:p>
        </w:tc>
      </w:tr>
      <w:tr w:rsidR="003F1182" w14:paraId="113345A0" w14:textId="77777777" w:rsidTr="00773C9D">
        <w:trPr>
          <w:trHeight w:val="630"/>
        </w:trPr>
        <w:tc>
          <w:tcPr>
            <w:tcW w:w="1522" w:type="dxa"/>
            <w:shd w:val="clear" w:color="auto" w:fill="DEEAF6" w:themeFill="accent1" w:themeFillTint="33"/>
          </w:tcPr>
          <w:p w14:paraId="2C6C8559" w14:textId="77777777" w:rsidR="003F1182" w:rsidRDefault="003F1182" w:rsidP="003F1182">
            <w:pPr>
              <w:rPr>
                <w:b/>
              </w:rPr>
            </w:pPr>
            <w:r>
              <w:rPr>
                <w:b/>
              </w:rPr>
              <w:lastRenderedPageBreak/>
              <w:t>Country</w:t>
            </w:r>
          </w:p>
        </w:tc>
        <w:tc>
          <w:tcPr>
            <w:tcW w:w="8396" w:type="dxa"/>
          </w:tcPr>
          <w:p w14:paraId="5A4481C5" w14:textId="20190E2C" w:rsidR="003F1182" w:rsidRDefault="003F1182" w:rsidP="003F1182"/>
        </w:tc>
      </w:tr>
      <w:tr w:rsidR="003F1182" w14:paraId="78BDF1FD" w14:textId="77777777" w:rsidTr="00773C9D">
        <w:trPr>
          <w:trHeight w:val="630"/>
        </w:trPr>
        <w:tc>
          <w:tcPr>
            <w:tcW w:w="1522" w:type="dxa"/>
            <w:shd w:val="clear" w:color="auto" w:fill="DEEAF6" w:themeFill="accent1" w:themeFillTint="33"/>
          </w:tcPr>
          <w:p w14:paraId="7702C38B" w14:textId="77777777" w:rsidR="003F1182" w:rsidRDefault="003F1182" w:rsidP="003F1182">
            <w:pPr>
              <w:rPr>
                <w:b/>
              </w:rPr>
            </w:pPr>
            <w:r>
              <w:rPr>
                <w:b/>
              </w:rPr>
              <w:t xml:space="preserve">*Start date and duration </w:t>
            </w:r>
          </w:p>
        </w:tc>
        <w:tc>
          <w:tcPr>
            <w:tcW w:w="8396" w:type="dxa"/>
          </w:tcPr>
          <w:p w14:paraId="72C13292" w14:textId="13F37D95" w:rsidR="003F1182" w:rsidRDefault="00773C9D" w:rsidP="003F1182">
            <w:r>
              <w:t>September 2021</w:t>
            </w:r>
          </w:p>
        </w:tc>
      </w:tr>
      <w:tr w:rsidR="003F1182" w14:paraId="5BE00321" w14:textId="77777777" w:rsidTr="00773C9D">
        <w:trPr>
          <w:trHeight w:val="444"/>
        </w:trPr>
        <w:tc>
          <w:tcPr>
            <w:tcW w:w="1522" w:type="dxa"/>
            <w:shd w:val="clear" w:color="auto" w:fill="DEEAF6" w:themeFill="accent1" w:themeFillTint="33"/>
          </w:tcPr>
          <w:p w14:paraId="29F966EE" w14:textId="77777777" w:rsidR="003F1182" w:rsidRPr="007F3CD9" w:rsidRDefault="003F1182" w:rsidP="003F1182">
            <w:pPr>
              <w:rPr>
                <w:b/>
              </w:rPr>
            </w:pPr>
            <w:r>
              <w:rPr>
                <w:b/>
              </w:rPr>
              <w:t>*</w:t>
            </w:r>
            <w:r w:rsidRPr="007F3CD9">
              <w:rPr>
                <w:b/>
              </w:rPr>
              <w:t>Faculty</w:t>
            </w:r>
          </w:p>
        </w:tc>
        <w:tc>
          <w:tcPr>
            <w:tcW w:w="8396" w:type="dxa"/>
          </w:tcPr>
          <w:p w14:paraId="5FEE8137" w14:textId="692F2715" w:rsidR="003F1182" w:rsidRDefault="00773C9D" w:rsidP="003F1182">
            <w:r>
              <w:t>Medicine Health and Life Sciences</w:t>
            </w:r>
          </w:p>
        </w:tc>
      </w:tr>
      <w:tr w:rsidR="003F1182" w14:paraId="2FD6EA6E" w14:textId="77777777" w:rsidTr="00773C9D">
        <w:trPr>
          <w:trHeight w:val="470"/>
        </w:trPr>
        <w:tc>
          <w:tcPr>
            <w:tcW w:w="1522" w:type="dxa"/>
            <w:shd w:val="clear" w:color="auto" w:fill="DEEAF6" w:themeFill="accent1" w:themeFillTint="33"/>
          </w:tcPr>
          <w:p w14:paraId="3BE4F543" w14:textId="77777777" w:rsidR="003F1182" w:rsidRPr="007F3CD9" w:rsidRDefault="003F1182" w:rsidP="003F1182">
            <w:pPr>
              <w:rPr>
                <w:b/>
              </w:rPr>
            </w:pPr>
            <w:r>
              <w:rPr>
                <w:b/>
              </w:rPr>
              <w:t>*</w:t>
            </w:r>
            <w:r w:rsidRPr="007F3CD9">
              <w:rPr>
                <w:b/>
              </w:rPr>
              <w:t>Research centre / School</w:t>
            </w:r>
          </w:p>
        </w:tc>
        <w:tc>
          <w:tcPr>
            <w:tcW w:w="8396" w:type="dxa"/>
          </w:tcPr>
          <w:p w14:paraId="59A1D0DF" w14:textId="0760248C" w:rsidR="003F1182" w:rsidRDefault="00317C62" w:rsidP="003F1182">
            <w:r>
              <w:t>School of Pharmacy</w:t>
            </w:r>
          </w:p>
        </w:tc>
      </w:tr>
      <w:tr w:rsidR="003F1182" w14:paraId="7931EE40" w14:textId="77777777" w:rsidTr="00773C9D">
        <w:trPr>
          <w:trHeight w:val="470"/>
        </w:trPr>
        <w:tc>
          <w:tcPr>
            <w:tcW w:w="1522" w:type="dxa"/>
            <w:shd w:val="clear" w:color="auto" w:fill="DEEAF6" w:themeFill="accent1" w:themeFillTint="33"/>
          </w:tcPr>
          <w:p w14:paraId="62EC5B9F" w14:textId="77777777" w:rsidR="003F1182" w:rsidRDefault="003F1182" w:rsidP="003F1182">
            <w:pPr>
              <w:rPr>
                <w:b/>
              </w:rPr>
            </w:pPr>
            <w:r>
              <w:rPr>
                <w:b/>
              </w:rPr>
              <w:t>Subject area</w:t>
            </w:r>
          </w:p>
        </w:tc>
        <w:tc>
          <w:tcPr>
            <w:tcW w:w="8396" w:type="dxa"/>
          </w:tcPr>
          <w:p w14:paraId="2083BE8D" w14:textId="3C427B53" w:rsidR="003F1182" w:rsidRDefault="00773C9D" w:rsidP="003F1182">
            <w:r>
              <w:t>Nanomedicine</w:t>
            </w:r>
          </w:p>
        </w:tc>
      </w:tr>
      <w:tr w:rsidR="003F1182" w14:paraId="4927DD08" w14:textId="77777777" w:rsidTr="00773C9D">
        <w:trPr>
          <w:trHeight w:val="444"/>
        </w:trPr>
        <w:tc>
          <w:tcPr>
            <w:tcW w:w="1522" w:type="dxa"/>
            <w:shd w:val="clear" w:color="auto" w:fill="DEEAF6" w:themeFill="accent1" w:themeFillTint="33"/>
          </w:tcPr>
          <w:p w14:paraId="0B8E14F3" w14:textId="77777777" w:rsidR="003F1182" w:rsidRDefault="003F1182" w:rsidP="003F1182">
            <w:pPr>
              <w:rPr>
                <w:b/>
              </w:rPr>
            </w:pPr>
            <w:r>
              <w:rPr>
                <w:b/>
              </w:rPr>
              <w:t xml:space="preserve">Candidate requirements / Key skills required for the post </w:t>
            </w:r>
          </w:p>
          <w:p w14:paraId="64C65FF4" w14:textId="77777777" w:rsidR="003F1182" w:rsidRPr="007F3CD9" w:rsidRDefault="003F1182" w:rsidP="003F1182">
            <w:pPr>
              <w:rPr>
                <w:b/>
              </w:rPr>
            </w:pPr>
          </w:p>
        </w:tc>
        <w:tc>
          <w:tcPr>
            <w:tcW w:w="8396" w:type="dxa"/>
          </w:tcPr>
          <w:p w14:paraId="295BFDE4" w14:textId="77777777" w:rsidR="003F1182" w:rsidRPr="007C3A10" w:rsidRDefault="003F1182" w:rsidP="003F1182">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3F1182" w14:paraId="0165EAEE" w14:textId="77777777" w:rsidTr="00773C9D">
        <w:trPr>
          <w:trHeight w:val="444"/>
        </w:trPr>
        <w:tc>
          <w:tcPr>
            <w:tcW w:w="1522" w:type="dxa"/>
            <w:shd w:val="clear" w:color="auto" w:fill="DEEAF6" w:themeFill="accent1" w:themeFillTint="33"/>
          </w:tcPr>
          <w:p w14:paraId="19576782" w14:textId="77777777" w:rsidR="003F1182" w:rsidRDefault="003F1182" w:rsidP="003F1182">
            <w:pPr>
              <w:rPr>
                <w:b/>
              </w:rPr>
            </w:pPr>
            <w:r>
              <w:rPr>
                <w:b/>
              </w:rPr>
              <w:t>*Deadline for applications</w:t>
            </w:r>
          </w:p>
        </w:tc>
        <w:tc>
          <w:tcPr>
            <w:tcW w:w="8396" w:type="dxa"/>
          </w:tcPr>
          <w:p w14:paraId="492A9368" w14:textId="77777777" w:rsidR="003F1182" w:rsidRDefault="003F1182" w:rsidP="003F1182"/>
        </w:tc>
      </w:tr>
      <w:tr w:rsidR="003F1182" w14:paraId="3DA8871F" w14:textId="77777777" w:rsidTr="00773C9D">
        <w:trPr>
          <w:trHeight w:val="444"/>
        </w:trPr>
        <w:tc>
          <w:tcPr>
            <w:tcW w:w="1522" w:type="dxa"/>
            <w:shd w:val="clear" w:color="auto" w:fill="DEEAF6" w:themeFill="accent1" w:themeFillTint="33"/>
          </w:tcPr>
          <w:p w14:paraId="3DF26063" w14:textId="77777777" w:rsidR="003F1182" w:rsidRDefault="003F1182" w:rsidP="003F1182">
            <w:pPr>
              <w:rPr>
                <w:b/>
              </w:rPr>
            </w:pPr>
            <w:r>
              <w:rPr>
                <w:b/>
              </w:rPr>
              <w:t>*How to apply / contacts</w:t>
            </w:r>
          </w:p>
        </w:tc>
        <w:tc>
          <w:tcPr>
            <w:tcW w:w="8396" w:type="dxa"/>
          </w:tcPr>
          <w:p w14:paraId="16688B16" w14:textId="0DAD5CF6" w:rsidR="003F1182" w:rsidRPr="00B25E6E" w:rsidRDefault="00B5079E" w:rsidP="003F1182">
            <w:r>
              <w:t>All postgraduate r</w:t>
            </w:r>
            <w:r w:rsidR="003F1182" w:rsidRPr="007F3CD9">
              <w:t>esearch applicants</w:t>
            </w:r>
            <w:r w:rsidR="003F1182">
              <w:t xml:space="preserve"> for</w:t>
            </w:r>
            <w:r w:rsidR="003F1182" w:rsidRPr="007F3CD9">
              <w:t xml:space="preserve"> </w:t>
            </w:r>
            <w:r w:rsidR="003F1182">
              <w:t xml:space="preserve">Pharmacy </w:t>
            </w:r>
            <w:r>
              <w:t>who are interested in the project</w:t>
            </w:r>
            <w:r w:rsidR="00B25E6E">
              <w:t xml:space="preserve"> must submit an application </w:t>
            </w:r>
            <w:r w:rsidR="00B25E6E" w:rsidRPr="007F3CD9">
              <w:t>all required supporting documents</w:t>
            </w:r>
            <w:r w:rsidR="003F1182" w:rsidRPr="007F3CD9">
              <w:t xml:space="preserve"> via</w:t>
            </w:r>
            <w:r w:rsidR="00B25E6E">
              <w:t xml:space="preserve"> the Direct Applications Portal (link below). UK students considering </w:t>
            </w:r>
            <w:r w:rsidR="00421481">
              <w:t>applying</w:t>
            </w:r>
            <w:r w:rsidR="00B25E6E">
              <w:t xml:space="preserve"> for DfE scholarship support, applications must be submitted before </w:t>
            </w:r>
            <w:r w:rsidR="00B25E6E">
              <w:rPr>
                <w:b/>
              </w:rPr>
              <w:t xml:space="preserve">Friday </w:t>
            </w:r>
            <w:r w:rsidR="00DA481D">
              <w:rPr>
                <w:b/>
              </w:rPr>
              <w:t>15</w:t>
            </w:r>
            <w:r w:rsidR="00B25E6E" w:rsidRPr="00B25E6E">
              <w:rPr>
                <w:b/>
                <w:vertAlign w:val="superscript"/>
              </w:rPr>
              <w:t>th</w:t>
            </w:r>
            <w:r w:rsidR="00B25E6E">
              <w:rPr>
                <w:b/>
              </w:rPr>
              <w:t xml:space="preserve"> January 2021. </w:t>
            </w:r>
            <w:r w:rsidR="00B25E6E">
              <w:t xml:space="preserve">Any interested applicants can informally contact Dr Coulter by email at j.coulter@qub.ac.uk </w:t>
            </w:r>
          </w:p>
          <w:p w14:paraId="43AC971F" w14:textId="77777777" w:rsidR="003F1182" w:rsidRDefault="003F1182" w:rsidP="003F1182"/>
          <w:p w14:paraId="4F2E48B7" w14:textId="77777777" w:rsidR="003F1182" w:rsidRDefault="00DA481D" w:rsidP="003F1182">
            <w:hyperlink r:id="rId5" w:history="1">
              <w:r w:rsidR="003F1182" w:rsidRPr="00920649">
                <w:rPr>
                  <w:rStyle w:val="Hyperlink"/>
                </w:rPr>
                <w:t>https://dap.qub.ac.uk/portal/user/u_login.php</w:t>
              </w:r>
            </w:hyperlink>
            <w:r w:rsidR="003F1182">
              <w:t xml:space="preserve"> </w:t>
            </w:r>
            <w:r w:rsidR="003F1182">
              <w:br/>
            </w:r>
          </w:p>
        </w:tc>
      </w:tr>
      <w:tr w:rsidR="003F1182" w14:paraId="1E02E220" w14:textId="77777777" w:rsidTr="00773C9D">
        <w:trPr>
          <w:trHeight w:val="2715"/>
        </w:trPr>
        <w:tc>
          <w:tcPr>
            <w:tcW w:w="1522" w:type="dxa"/>
            <w:shd w:val="clear" w:color="auto" w:fill="DEEAF6" w:themeFill="accent1" w:themeFillTint="33"/>
          </w:tcPr>
          <w:p w14:paraId="055486A8" w14:textId="77777777" w:rsidR="003F1182" w:rsidRPr="007F3CD9" w:rsidRDefault="003F1182" w:rsidP="003F1182">
            <w:pPr>
              <w:rPr>
                <w:b/>
              </w:rPr>
            </w:pPr>
            <w:r>
              <w:rPr>
                <w:b/>
              </w:rPr>
              <w:t>Relevant</w:t>
            </w:r>
            <w:r w:rsidRPr="007F3CD9">
              <w:rPr>
                <w:b/>
              </w:rPr>
              <w:t xml:space="preserve"> links </w:t>
            </w:r>
            <w:r>
              <w:rPr>
                <w:b/>
              </w:rPr>
              <w:t xml:space="preserve">/ more information </w:t>
            </w:r>
          </w:p>
          <w:p w14:paraId="16BE9F12" w14:textId="77777777" w:rsidR="003F1182" w:rsidRDefault="003F1182" w:rsidP="003F1182"/>
        </w:tc>
        <w:tc>
          <w:tcPr>
            <w:tcW w:w="8396" w:type="dxa"/>
          </w:tcPr>
          <w:p w14:paraId="29E92652" w14:textId="77777777" w:rsidR="003F1182" w:rsidRDefault="003F1182" w:rsidP="003F1182"/>
          <w:p w14:paraId="706FD4C7" w14:textId="77777777" w:rsidR="003F1182" w:rsidRDefault="00DA481D" w:rsidP="003F1182">
            <w:hyperlink r:id="rId6" w:history="1">
              <w:r w:rsidR="003F1182" w:rsidRPr="00810712">
                <w:rPr>
                  <w:rStyle w:val="Hyperlink"/>
                </w:rPr>
                <w:t>http://www.qub.ac.uk/schools/SchoolofPharmacy/Research/PostgraduatePositions/</w:t>
              </w:r>
            </w:hyperlink>
          </w:p>
          <w:p w14:paraId="0D42D0F4" w14:textId="77777777" w:rsidR="003F1182" w:rsidRDefault="003F1182" w:rsidP="003F1182"/>
          <w:p w14:paraId="5756E174" w14:textId="5D81F64B" w:rsidR="003F1182" w:rsidRDefault="00DA481D" w:rsidP="003F1182">
            <w:pPr>
              <w:rPr>
                <w:rStyle w:val="Hyperlink"/>
              </w:rPr>
            </w:pPr>
            <w:hyperlink r:id="rId7" w:history="1">
              <w:r w:rsidR="003F1182" w:rsidRPr="00810712">
                <w:rPr>
                  <w:rStyle w:val="Hyperlink"/>
                </w:rPr>
                <w:t>http://www.qub.ac.uk/schools/SchoolofPharmacy/Research/</w:t>
              </w:r>
            </w:hyperlink>
          </w:p>
          <w:p w14:paraId="5DD27E99" w14:textId="6F4FAE3D" w:rsidR="00773C9D" w:rsidRDefault="00773C9D" w:rsidP="003F1182">
            <w:pPr>
              <w:rPr>
                <w:rStyle w:val="Hyperlink"/>
              </w:rPr>
            </w:pPr>
          </w:p>
          <w:p w14:paraId="727E4A0C" w14:textId="72BA6CF1" w:rsidR="00773C9D" w:rsidRDefault="00DA481D" w:rsidP="003F1182">
            <w:pPr>
              <w:rPr>
                <w:rStyle w:val="Hyperlink"/>
              </w:rPr>
            </w:pPr>
            <w:hyperlink r:id="rId8" w:history="1">
              <w:r w:rsidR="00773C9D" w:rsidRPr="00E511B7">
                <w:rPr>
                  <w:rStyle w:val="Hyperlink"/>
                </w:rPr>
                <w:t>https://www.qub.ac.uk/schools/SchoolofPharmacy/Research/ResearchThemes/</w:t>
              </w:r>
            </w:hyperlink>
          </w:p>
          <w:p w14:paraId="5EDC4143" w14:textId="74F2479E" w:rsidR="00773C9D" w:rsidRDefault="00773C9D" w:rsidP="003F1182">
            <w:pPr>
              <w:rPr>
                <w:rStyle w:val="Hyperlink"/>
              </w:rPr>
            </w:pPr>
            <w:r w:rsidRPr="00773C9D">
              <w:rPr>
                <w:rStyle w:val="Hyperlink"/>
              </w:rPr>
              <w:t>NanomedicineandBiotherapeutics/</w:t>
            </w:r>
          </w:p>
          <w:p w14:paraId="0DB27229" w14:textId="11D248D1" w:rsidR="00773C9D" w:rsidRDefault="00773C9D" w:rsidP="003F1182">
            <w:pPr>
              <w:rPr>
                <w:rStyle w:val="Hyperlink"/>
              </w:rPr>
            </w:pPr>
          </w:p>
          <w:p w14:paraId="73476B94" w14:textId="77777777" w:rsidR="00B25E6E" w:rsidRDefault="00B25E6E" w:rsidP="00B25E6E">
            <w:pPr>
              <w:rPr>
                <w:rStyle w:val="Hyperlink"/>
              </w:rPr>
            </w:pPr>
            <w:r w:rsidRPr="00773C9D">
              <w:rPr>
                <w:rStyle w:val="Hyperlink"/>
              </w:rPr>
              <w:t>https://www.qub.ac.uk/schools/SchoolofPharmacy/Research/find-a-phd-supervisor/dr-jonathan-coulter.html</w:t>
            </w:r>
          </w:p>
          <w:p w14:paraId="690155DA" w14:textId="77777777" w:rsidR="00B25E6E" w:rsidRDefault="00B25E6E" w:rsidP="003F1182"/>
          <w:p w14:paraId="4B403D10" w14:textId="44A780B4" w:rsidR="00773C9D" w:rsidRDefault="00DA481D" w:rsidP="003F1182">
            <w:pPr>
              <w:rPr>
                <w:rStyle w:val="Hyperlink"/>
              </w:rPr>
            </w:pPr>
            <w:hyperlink r:id="rId9" w:history="1">
              <w:r w:rsidR="00773C9D" w:rsidRPr="00E511B7">
                <w:rPr>
                  <w:rStyle w:val="Hyperlink"/>
                </w:rPr>
                <w:t>https://www.qub.ac.uk/schools/SchoolofPharmacy/Research/find-a-phd-supervisor/professor-helen-mccarthy.html</w:t>
              </w:r>
            </w:hyperlink>
          </w:p>
          <w:p w14:paraId="510AEEF7" w14:textId="3D49EADA" w:rsidR="00773C9D" w:rsidRDefault="00773C9D" w:rsidP="003F1182">
            <w:pPr>
              <w:rPr>
                <w:rStyle w:val="Hyperlink"/>
              </w:rPr>
            </w:pPr>
          </w:p>
          <w:p w14:paraId="5C254CDF" w14:textId="77777777" w:rsidR="003F1182" w:rsidRDefault="003F1182" w:rsidP="00317C62"/>
        </w:tc>
      </w:tr>
      <w:tr w:rsidR="003F1182" w14:paraId="6FA54374" w14:textId="77777777" w:rsidTr="00773C9D">
        <w:trPr>
          <w:trHeight w:val="576"/>
        </w:trPr>
        <w:tc>
          <w:tcPr>
            <w:tcW w:w="1522" w:type="dxa"/>
            <w:shd w:val="clear" w:color="auto" w:fill="DEEAF6" w:themeFill="accent1" w:themeFillTint="33"/>
          </w:tcPr>
          <w:p w14:paraId="6FA9BAAB" w14:textId="77777777" w:rsidR="003F1182" w:rsidRDefault="003F1182" w:rsidP="003F1182">
            <w:pPr>
              <w:rPr>
                <w:b/>
              </w:rPr>
            </w:pPr>
            <w:r>
              <w:rPr>
                <w:b/>
              </w:rPr>
              <w:t>Keywords for search filters</w:t>
            </w:r>
          </w:p>
        </w:tc>
        <w:tc>
          <w:tcPr>
            <w:tcW w:w="8396" w:type="dxa"/>
          </w:tcPr>
          <w:p w14:paraId="5D6B122D" w14:textId="7250907E" w:rsidR="003F1182" w:rsidRDefault="00773C9D" w:rsidP="003F1182">
            <w:r>
              <w:t>Prostate Cancer, Nanomedicine, Drug Delivery</w:t>
            </w:r>
            <w:r w:rsidR="00B25E6E">
              <w:t>, Radiotherapy</w:t>
            </w:r>
          </w:p>
        </w:tc>
      </w:tr>
      <w:tr w:rsidR="00DE3E0F" w14:paraId="46E95240" w14:textId="77777777" w:rsidTr="00773C9D">
        <w:trPr>
          <w:trHeight w:val="470"/>
        </w:trPr>
        <w:tc>
          <w:tcPr>
            <w:tcW w:w="1522" w:type="dxa"/>
            <w:shd w:val="clear" w:color="auto" w:fill="DEEAF6" w:themeFill="accent1" w:themeFillTint="33"/>
          </w:tcPr>
          <w:p w14:paraId="3219A3B1" w14:textId="77777777" w:rsidR="00DE3E0F" w:rsidRDefault="00DE3E0F" w:rsidP="00DE3E0F">
            <w:pPr>
              <w:rPr>
                <w:b/>
              </w:rPr>
            </w:pPr>
            <w:r>
              <w:rPr>
                <w:b/>
              </w:rPr>
              <w:t>Training provided through the research project</w:t>
            </w:r>
          </w:p>
        </w:tc>
        <w:tc>
          <w:tcPr>
            <w:tcW w:w="8396" w:type="dxa"/>
          </w:tcPr>
          <w:p w14:paraId="20F1DC2E" w14:textId="1CDF7E0F" w:rsidR="00773C9D" w:rsidRPr="00773C9D" w:rsidRDefault="00773C9D" w:rsidP="00773C9D">
            <w:pPr>
              <w:jc w:val="both"/>
            </w:pPr>
            <w:r w:rsidRPr="00773C9D">
              <w:t>Right from the start the PhD student will be using acade</w:t>
            </w:r>
            <w:r w:rsidR="00B25E6E">
              <w:t xml:space="preserve">mic research designed to have translational/clinical </w:t>
            </w:r>
            <w:r w:rsidR="00421481">
              <w:t>application.</w:t>
            </w:r>
            <w:r w:rsidR="00421481" w:rsidRPr="00773C9D">
              <w:t xml:space="preserve"> This</w:t>
            </w:r>
            <w:r w:rsidRPr="00773C9D">
              <w:t xml:space="preserve"> dual approach spans:</w:t>
            </w:r>
          </w:p>
          <w:p w14:paraId="79988C47" w14:textId="4217DE9D" w:rsidR="00773C9D" w:rsidRPr="00773C9D" w:rsidRDefault="00773C9D" w:rsidP="00773C9D">
            <w:pPr>
              <w:jc w:val="both"/>
              <w:rPr>
                <w:lang w:val="en-US"/>
              </w:rPr>
            </w:pPr>
            <w:r w:rsidRPr="00773C9D">
              <w:rPr>
                <w:lang w:val="en-US"/>
              </w:rPr>
              <w:t>1) Research Skills: the academic supervisor</w:t>
            </w:r>
            <w:r w:rsidR="00CC02B2">
              <w:rPr>
                <w:lang w:val="en-US"/>
              </w:rPr>
              <w:t xml:space="preserve">s </w:t>
            </w:r>
            <w:r w:rsidRPr="00773C9D">
              <w:rPr>
                <w:lang w:val="en-US"/>
              </w:rPr>
              <w:t xml:space="preserve">will ensure excellent training in </w:t>
            </w:r>
            <w:r w:rsidR="00CC02B2">
              <w:rPr>
                <w:lang w:val="en-US"/>
              </w:rPr>
              <w:t>nanoparticle analysis, prostate</w:t>
            </w:r>
            <w:r w:rsidRPr="00773C9D">
              <w:rPr>
                <w:lang w:val="en-US"/>
              </w:rPr>
              <w:t xml:space="preserve"> cancer techniques</w:t>
            </w:r>
            <w:r w:rsidR="00CC02B2">
              <w:rPr>
                <w:lang w:val="en-US"/>
              </w:rPr>
              <w:t xml:space="preserve">, </w:t>
            </w:r>
            <w:r w:rsidR="00CC02B2" w:rsidRPr="00B25E6E">
              <w:rPr>
                <w:i/>
                <w:lang w:val="en-US"/>
              </w:rPr>
              <w:t>in vitro</w:t>
            </w:r>
            <w:r w:rsidR="00CC02B2">
              <w:rPr>
                <w:lang w:val="en-US"/>
              </w:rPr>
              <w:t xml:space="preserve"> and </w:t>
            </w:r>
            <w:r w:rsidR="00CC02B2" w:rsidRPr="00B25E6E">
              <w:rPr>
                <w:i/>
                <w:lang w:val="en-US"/>
              </w:rPr>
              <w:t xml:space="preserve">in vivo </w:t>
            </w:r>
            <w:r w:rsidR="00CC02B2">
              <w:rPr>
                <w:lang w:val="en-US"/>
              </w:rPr>
              <w:t>skills</w:t>
            </w:r>
            <w:r w:rsidRPr="00773C9D">
              <w:rPr>
                <w:lang w:val="en-US"/>
              </w:rPr>
              <w:t xml:space="preserve">. Further training with industrial regulators and awareness of a typical data package required for pre-clinical development will give the student a unique perspective. </w:t>
            </w:r>
          </w:p>
          <w:p w14:paraId="6C4A6924" w14:textId="6C67C82F" w:rsidR="00773C9D" w:rsidRPr="00773C9D" w:rsidRDefault="00773C9D" w:rsidP="00773C9D">
            <w:pPr>
              <w:jc w:val="both"/>
              <w:rPr>
                <w:lang w:val="en-US"/>
              </w:rPr>
            </w:pPr>
            <w:r w:rsidRPr="00773C9D">
              <w:lastRenderedPageBreak/>
              <w:t>2) Record keeping &amp; monitoring: M</w:t>
            </w:r>
            <w:r w:rsidRPr="00773C9D">
              <w:rPr>
                <w:bCs/>
              </w:rPr>
              <w:t xml:space="preserve">onthly meetings with the student will take place with electronic records. Students must also complete a 3-month initial review and annual progress review to proceed to years 2 &amp; 3. The annual progress review involves written work, presentation and/or mini </w:t>
            </w:r>
            <w:r w:rsidRPr="00773C9D">
              <w:rPr>
                <w:bCs/>
                <w:i/>
              </w:rPr>
              <w:t>viva</w:t>
            </w:r>
            <w:r w:rsidRPr="00773C9D">
              <w:rPr>
                <w:bCs/>
              </w:rPr>
              <w:t>.</w:t>
            </w:r>
            <w:r w:rsidRPr="00773C9D">
              <w:rPr>
                <w:lang w:val="en-US"/>
              </w:rPr>
              <w:t xml:space="preserve"> </w:t>
            </w:r>
            <w:r w:rsidR="00421481" w:rsidRPr="00773C9D">
              <w:rPr>
                <w:lang w:val="en-US"/>
              </w:rPr>
              <w:t>However,</w:t>
            </w:r>
            <w:r w:rsidRPr="00773C9D">
              <w:rPr>
                <w:lang w:val="en-US"/>
              </w:rPr>
              <w:t xml:space="preserve"> at each of</w:t>
            </w:r>
            <w:r w:rsidR="00B25E6E">
              <w:rPr>
                <w:lang w:val="en-US"/>
              </w:rPr>
              <w:t xml:space="preserve"> these meetings, the primary </w:t>
            </w:r>
            <w:r w:rsidRPr="00773C9D">
              <w:rPr>
                <w:lang w:val="en-US"/>
              </w:rPr>
              <w:t xml:space="preserve">supervisor will also be present ensuring that the </w:t>
            </w:r>
            <w:r w:rsidR="00B25E6E">
              <w:rPr>
                <w:lang w:val="en-US"/>
              </w:rPr>
              <w:t>maximal training benefit can be derived from these processes.</w:t>
            </w:r>
          </w:p>
          <w:p w14:paraId="02EC8650" w14:textId="625E5664" w:rsidR="00DE3E0F" w:rsidRDefault="00773C9D" w:rsidP="00B25E6E">
            <w:pPr>
              <w:jc w:val="both"/>
            </w:pPr>
            <w:r w:rsidRPr="00773C9D">
              <w:rPr>
                <w:lang w:val="en-US"/>
              </w:rPr>
              <w:t>3) Additionally, there will be opportunities to p</w:t>
            </w:r>
            <w:r w:rsidR="00B25E6E">
              <w:rPr>
                <w:lang w:val="en-US"/>
              </w:rPr>
              <w:t xml:space="preserve">resent at </w:t>
            </w:r>
            <w:r w:rsidRPr="00773C9D">
              <w:rPr>
                <w:lang w:val="en-US"/>
              </w:rPr>
              <w:t xml:space="preserve">academic </w:t>
            </w:r>
            <w:r w:rsidR="00B25E6E">
              <w:rPr>
                <w:lang w:val="en-US"/>
              </w:rPr>
              <w:t>meetings</w:t>
            </w:r>
            <w:r w:rsidRPr="00773C9D">
              <w:rPr>
                <w:lang w:val="en-US"/>
              </w:rPr>
              <w:t xml:space="preserve">, </w:t>
            </w:r>
            <w:r w:rsidR="00B25E6E">
              <w:rPr>
                <w:lang w:val="en-US"/>
              </w:rPr>
              <w:t xml:space="preserve">building professional networks, </w:t>
            </w:r>
            <w:r w:rsidRPr="00773C9D">
              <w:rPr>
                <w:lang w:val="en-US"/>
              </w:rPr>
              <w:t xml:space="preserve">personal development on </w:t>
            </w:r>
            <w:r w:rsidR="00B25E6E">
              <w:rPr>
                <w:lang w:val="en-US"/>
              </w:rPr>
              <w:t xml:space="preserve">courses for animal licenses, advanced statistics, skills which are all relevant to subsequent employment </w:t>
            </w:r>
            <w:r w:rsidR="00421481">
              <w:rPr>
                <w:lang w:val="en-US"/>
              </w:rPr>
              <w:t>opportunities</w:t>
            </w:r>
            <w:r w:rsidR="00B25E6E">
              <w:rPr>
                <w:lang w:val="en-US"/>
              </w:rPr>
              <w:t>.</w:t>
            </w:r>
          </w:p>
        </w:tc>
      </w:tr>
      <w:tr w:rsidR="00DE3E0F" w14:paraId="731DC994" w14:textId="77777777" w:rsidTr="00773C9D">
        <w:trPr>
          <w:trHeight w:val="470"/>
        </w:trPr>
        <w:tc>
          <w:tcPr>
            <w:tcW w:w="1522" w:type="dxa"/>
            <w:shd w:val="clear" w:color="auto" w:fill="DEEAF6" w:themeFill="accent1" w:themeFillTint="33"/>
          </w:tcPr>
          <w:p w14:paraId="00053B05" w14:textId="77777777" w:rsidR="00DE3E0F" w:rsidRDefault="00DE3E0F" w:rsidP="00DE3E0F">
            <w:pPr>
              <w:rPr>
                <w:b/>
              </w:rPr>
            </w:pPr>
            <w:r>
              <w:rPr>
                <w:b/>
              </w:rPr>
              <w:lastRenderedPageBreak/>
              <w:t>Expected impact activities</w:t>
            </w:r>
          </w:p>
        </w:tc>
        <w:tc>
          <w:tcPr>
            <w:tcW w:w="8396" w:type="dxa"/>
          </w:tcPr>
          <w:p w14:paraId="27B558D6" w14:textId="23A5AEB9" w:rsidR="00DE3E0F" w:rsidRDefault="00A63CD4" w:rsidP="00EB3D85">
            <w:pPr>
              <w:jc w:val="both"/>
            </w:pPr>
            <w:r>
              <w:t xml:space="preserve">Impact activities include but are not restricted to </w:t>
            </w:r>
            <w:r w:rsidR="005E4BD6">
              <w:t xml:space="preserve">presenting the research to academic and industry peers through scientific conferences and students from different disciplines through the Graduate School. The student will also engage with </w:t>
            </w:r>
            <w:r w:rsidR="00421481">
              <w:t>patients,</w:t>
            </w:r>
            <w:r w:rsidR="005E4BD6">
              <w:t xml:space="preserve"> clinicians and key stake holders through a series of webinars/focus groups to understand how they can feed and shape the research plan. Other impact activities relate to commercialisation though IP protection processes, competitor analysis and engagement with </w:t>
            </w:r>
            <w:r w:rsidR="00EB3D85">
              <w:t>clinical collaborators</w:t>
            </w:r>
            <w:r w:rsidR="005E4BD6">
              <w:t xml:space="preserve">. </w:t>
            </w: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035F4"/>
    <w:rsid w:val="000140E0"/>
    <w:rsid w:val="00017B3A"/>
    <w:rsid w:val="000211E7"/>
    <w:rsid w:val="00036AC1"/>
    <w:rsid w:val="0005207A"/>
    <w:rsid w:val="0006730B"/>
    <w:rsid w:val="00074FC2"/>
    <w:rsid w:val="00076683"/>
    <w:rsid w:val="0008106D"/>
    <w:rsid w:val="00087903"/>
    <w:rsid w:val="00093ED6"/>
    <w:rsid w:val="000976C2"/>
    <w:rsid w:val="000B5232"/>
    <w:rsid w:val="000B5533"/>
    <w:rsid w:val="000C6238"/>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1BD9"/>
    <w:rsid w:val="0020699C"/>
    <w:rsid w:val="002110A7"/>
    <w:rsid w:val="00211ADC"/>
    <w:rsid w:val="0023305E"/>
    <w:rsid w:val="00234A97"/>
    <w:rsid w:val="002438AA"/>
    <w:rsid w:val="0024565D"/>
    <w:rsid w:val="002663D0"/>
    <w:rsid w:val="002679A5"/>
    <w:rsid w:val="00270CA4"/>
    <w:rsid w:val="00275E36"/>
    <w:rsid w:val="00276A24"/>
    <w:rsid w:val="00286380"/>
    <w:rsid w:val="00287196"/>
    <w:rsid w:val="002963E1"/>
    <w:rsid w:val="002A0180"/>
    <w:rsid w:val="002A22B2"/>
    <w:rsid w:val="002A6769"/>
    <w:rsid w:val="002A6F4F"/>
    <w:rsid w:val="002B644E"/>
    <w:rsid w:val="002B6455"/>
    <w:rsid w:val="002E0374"/>
    <w:rsid w:val="002E219E"/>
    <w:rsid w:val="002E6701"/>
    <w:rsid w:val="002F06D8"/>
    <w:rsid w:val="002F38B4"/>
    <w:rsid w:val="002F3D8F"/>
    <w:rsid w:val="00300B77"/>
    <w:rsid w:val="00303DAB"/>
    <w:rsid w:val="00307A16"/>
    <w:rsid w:val="00312241"/>
    <w:rsid w:val="00315F1B"/>
    <w:rsid w:val="00317C62"/>
    <w:rsid w:val="00322E90"/>
    <w:rsid w:val="0034159F"/>
    <w:rsid w:val="003418CF"/>
    <w:rsid w:val="00342E0B"/>
    <w:rsid w:val="003437FB"/>
    <w:rsid w:val="00346EA7"/>
    <w:rsid w:val="00347872"/>
    <w:rsid w:val="00353B81"/>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5DA8"/>
    <w:rsid w:val="003F716D"/>
    <w:rsid w:val="00403319"/>
    <w:rsid w:val="0040602C"/>
    <w:rsid w:val="00407ED6"/>
    <w:rsid w:val="00420A13"/>
    <w:rsid w:val="00421481"/>
    <w:rsid w:val="0043514D"/>
    <w:rsid w:val="00437BE9"/>
    <w:rsid w:val="004418E8"/>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1ED1"/>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E4BD6"/>
    <w:rsid w:val="005F2741"/>
    <w:rsid w:val="005F301D"/>
    <w:rsid w:val="00614685"/>
    <w:rsid w:val="00636529"/>
    <w:rsid w:val="00636A02"/>
    <w:rsid w:val="0064028D"/>
    <w:rsid w:val="00640638"/>
    <w:rsid w:val="0064387C"/>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3C9D"/>
    <w:rsid w:val="00776188"/>
    <w:rsid w:val="00781A8B"/>
    <w:rsid w:val="00781ED6"/>
    <w:rsid w:val="00793FA5"/>
    <w:rsid w:val="007A73EB"/>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0A08"/>
    <w:rsid w:val="00835A1C"/>
    <w:rsid w:val="00836A05"/>
    <w:rsid w:val="00845949"/>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2514A"/>
    <w:rsid w:val="00A30D12"/>
    <w:rsid w:val="00A3441A"/>
    <w:rsid w:val="00A354B3"/>
    <w:rsid w:val="00A404C0"/>
    <w:rsid w:val="00A4488B"/>
    <w:rsid w:val="00A51E47"/>
    <w:rsid w:val="00A53D5A"/>
    <w:rsid w:val="00A61746"/>
    <w:rsid w:val="00A63CD4"/>
    <w:rsid w:val="00A768A4"/>
    <w:rsid w:val="00A907D7"/>
    <w:rsid w:val="00A90948"/>
    <w:rsid w:val="00A946F0"/>
    <w:rsid w:val="00AA53C1"/>
    <w:rsid w:val="00AB1FFD"/>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5E6E"/>
    <w:rsid w:val="00B27846"/>
    <w:rsid w:val="00B359EF"/>
    <w:rsid w:val="00B363F2"/>
    <w:rsid w:val="00B40805"/>
    <w:rsid w:val="00B40C54"/>
    <w:rsid w:val="00B4262C"/>
    <w:rsid w:val="00B42F58"/>
    <w:rsid w:val="00B44FF9"/>
    <w:rsid w:val="00B47154"/>
    <w:rsid w:val="00B5079E"/>
    <w:rsid w:val="00B50BAC"/>
    <w:rsid w:val="00B55E28"/>
    <w:rsid w:val="00B6354C"/>
    <w:rsid w:val="00B703CE"/>
    <w:rsid w:val="00BA71ED"/>
    <w:rsid w:val="00BB6F08"/>
    <w:rsid w:val="00BC2944"/>
    <w:rsid w:val="00BD017F"/>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02B2"/>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A481D"/>
    <w:rsid w:val="00DB009E"/>
    <w:rsid w:val="00DB437C"/>
    <w:rsid w:val="00DB450E"/>
    <w:rsid w:val="00DB709B"/>
    <w:rsid w:val="00DC5B83"/>
    <w:rsid w:val="00DD1D77"/>
    <w:rsid w:val="00DD6932"/>
    <w:rsid w:val="00DE3E0F"/>
    <w:rsid w:val="00DF148B"/>
    <w:rsid w:val="00E11BB2"/>
    <w:rsid w:val="00E166B5"/>
    <w:rsid w:val="00E177D8"/>
    <w:rsid w:val="00E2148C"/>
    <w:rsid w:val="00E27D11"/>
    <w:rsid w:val="00E33DAC"/>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B3D85"/>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 w:type="paragraph" w:customStyle="1" w:styleId="TableParagraph">
    <w:name w:val="Table Paragraph"/>
    <w:basedOn w:val="Normal"/>
    <w:uiPriority w:val="1"/>
    <w:qFormat/>
    <w:rsid w:val="00AB1FF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73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schools/SchoolofPharmacy/Research/ResearchThemes/" TargetMode="Externa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11" Type="http://schemas.openxmlformats.org/officeDocument/2006/relationships/theme" Target="theme/theme1.xml"/><Relationship Id="rId5" Type="http://schemas.openxmlformats.org/officeDocument/2006/relationships/hyperlink" Target="https://dap.qub.ac.uk/portal/user/u_login.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b.ac.uk/schools/SchoolofPharmacy/Research/find-a-phd-supervisor/professor-helen-mccart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Darren Murphy</cp:lastModifiedBy>
  <cp:revision>4</cp:revision>
  <dcterms:created xsi:type="dcterms:W3CDTF">2020-11-05T09:35:00Z</dcterms:created>
  <dcterms:modified xsi:type="dcterms:W3CDTF">2020-11-17T11:38:00Z</dcterms:modified>
</cp:coreProperties>
</file>