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432ED" w14:textId="1D5844F3" w:rsidR="007F3CD9" w:rsidRPr="00AB7C4B" w:rsidRDefault="0030136C" w:rsidP="0030136C">
      <w:pPr>
        <w:pStyle w:val="Heading1"/>
        <w:rPr>
          <w:b/>
          <w:bCs/>
        </w:rPr>
      </w:pPr>
      <w:bookmarkStart w:id="0" w:name="_GoBack"/>
      <w:bookmarkEnd w:id="0"/>
      <w:r w:rsidRPr="00AB7C4B">
        <w:rPr>
          <w:b/>
          <w:bCs/>
        </w:rPr>
        <w:t>Queen’s Doctoral Training Programme - Multi-dimensional approaches to understanding microbe/host interactions in the context of disease, therapeutics and community resilience</w:t>
      </w:r>
    </w:p>
    <w:p w14:paraId="65DE42EB" w14:textId="77777777" w:rsidR="001976E1" w:rsidRDefault="001976E1"/>
    <w:tbl>
      <w:tblPr>
        <w:tblStyle w:val="TableGrid"/>
        <w:tblW w:w="9242" w:type="dxa"/>
        <w:tblLook w:val="04A0" w:firstRow="1" w:lastRow="0" w:firstColumn="1" w:lastColumn="0" w:noHBand="0" w:noVBand="1"/>
      </w:tblPr>
      <w:tblGrid>
        <w:gridCol w:w="2250"/>
        <w:gridCol w:w="6992"/>
      </w:tblGrid>
      <w:tr w:rsidR="007F3CD9" w14:paraId="037A66C8" w14:textId="77777777" w:rsidTr="0030136C">
        <w:trPr>
          <w:trHeight w:val="470"/>
        </w:trPr>
        <w:tc>
          <w:tcPr>
            <w:tcW w:w="2250" w:type="dxa"/>
            <w:shd w:val="clear" w:color="auto" w:fill="DEEAF6" w:themeFill="accent1" w:themeFillTint="33"/>
          </w:tcPr>
          <w:p w14:paraId="1ABA1734" w14:textId="0DEC8CDE" w:rsidR="007F3CD9" w:rsidRPr="007F3CD9" w:rsidRDefault="007F3CD9">
            <w:pPr>
              <w:rPr>
                <w:b/>
              </w:rPr>
            </w:pPr>
            <w:r w:rsidRPr="007F3CD9">
              <w:rPr>
                <w:b/>
              </w:rPr>
              <w:t>Title of studentship</w:t>
            </w:r>
          </w:p>
        </w:tc>
        <w:tc>
          <w:tcPr>
            <w:tcW w:w="6992" w:type="dxa"/>
          </w:tcPr>
          <w:p w14:paraId="7018D398" w14:textId="00017CCA" w:rsidR="007F3CD9" w:rsidRPr="00421257" w:rsidRDefault="00B36FE5" w:rsidP="00621F17">
            <w:pPr>
              <w:rPr>
                <w:rFonts w:cs="Arial"/>
              </w:rPr>
            </w:pPr>
            <w:r>
              <w:rPr>
                <w:rFonts w:cs="Arial"/>
              </w:rPr>
              <w:t>Functional metagenomics for identification of novel antimicrobial resistance genes in environmental viromes</w:t>
            </w:r>
          </w:p>
        </w:tc>
      </w:tr>
      <w:tr w:rsidR="007F3CD9" w14:paraId="51AA700B" w14:textId="77777777" w:rsidTr="0030136C">
        <w:trPr>
          <w:trHeight w:val="1412"/>
        </w:trPr>
        <w:tc>
          <w:tcPr>
            <w:tcW w:w="2250" w:type="dxa"/>
            <w:shd w:val="clear" w:color="auto" w:fill="DEEAF6" w:themeFill="accent1" w:themeFillTint="33"/>
          </w:tcPr>
          <w:p w14:paraId="557F2C37" w14:textId="19E7F557" w:rsidR="0030136C" w:rsidRDefault="0030136C" w:rsidP="0030136C">
            <w:pPr>
              <w:pStyle w:val="BodyText2"/>
              <w:jc w:val="both"/>
              <w:rPr>
                <w:rFonts w:ascii="Arial" w:hAnsi="Arial" w:cs="Arial"/>
                <w:b/>
                <w:sz w:val="20"/>
              </w:rPr>
            </w:pPr>
            <w:r w:rsidRPr="001B28FF">
              <w:rPr>
                <w:rFonts w:ascii="Arial" w:hAnsi="Arial" w:cs="Arial"/>
                <w:b/>
                <w:sz w:val="20"/>
              </w:rPr>
              <w:t>Project summary (max</w:t>
            </w:r>
            <w:r>
              <w:rPr>
                <w:rFonts w:ascii="Arial" w:hAnsi="Arial" w:cs="Arial"/>
                <w:b/>
                <w:sz w:val="20"/>
              </w:rPr>
              <w:t xml:space="preserve"> </w:t>
            </w:r>
            <w:r w:rsidRPr="001B28FF">
              <w:rPr>
                <w:rFonts w:ascii="Arial" w:hAnsi="Arial" w:cs="Arial"/>
                <w:b/>
                <w:sz w:val="20"/>
              </w:rPr>
              <w:t>250 words</w:t>
            </w:r>
            <w:r>
              <w:rPr>
                <w:rFonts w:ascii="Arial" w:hAnsi="Arial" w:cs="Arial"/>
                <w:b/>
                <w:sz w:val="20"/>
              </w:rPr>
              <w:t xml:space="preserve"> – this will be used to advertise the project if selected).</w:t>
            </w:r>
          </w:p>
          <w:p w14:paraId="1CD3AB43" w14:textId="46E4E056" w:rsidR="007F3CD9" w:rsidRPr="007F3CD9" w:rsidRDefault="007F3CD9">
            <w:pPr>
              <w:rPr>
                <w:b/>
              </w:rPr>
            </w:pPr>
          </w:p>
        </w:tc>
        <w:tc>
          <w:tcPr>
            <w:tcW w:w="6992" w:type="dxa"/>
          </w:tcPr>
          <w:p w14:paraId="22C222BC" w14:textId="26C1099D" w:rsidR="007770A1" w:rsidRDefault="00B36FE5" w:rsidP="00421257">
            <w:pPr>
              <w:spacing w:before="100" w:beforeAutospacing="1" w:after="100" w:afterAutospacing="1"/>
              <w:jc w:val="both"/>
              <w:outlineLvl w:val="0"/>
              <w:rPr>
                <w:rFonts w:cstheme="minorHAnsi"/>
              </w:rPr>
            </w:pPr>
            <w:r w:rsidRPr="00B36FE5">
              <w:rPr>
                <w:rFonts w:cstheme="minorHAnsi"/>
              </w:rPr>
              <w:t xml:space="preserve">Viruses are the most numerous and most diverse </w:t>
            </w:r>
            <w:r w:rsidR="007770A1">
              <w:rPr>
                <w:rFonts w:cstheme="minorHAnsi"/>
              </w:rPr>
              <w:t>form</w:t>
            </w:r>
            <w:r w:rsidRPr="00B36FE5">
              <w:rPr>
                <w:rFonts w:cstheme="minorHAnsi"/>
              </w:rPr>
              <w:t xml:space="preserve"> of life on Earth</w:t>
            </w:r>
            <w:r w:rsidR="007770A1">
              <w:rPr>
                <w:rFonts w:cstheme="minorHAnsi"/>
              </w:rPr>
              <w:t>,</w:t>
            </w:r>
            <w:r w:rsidRPr="00B36FE5">
              <w:rPr>
                <w:rFonts w:cstheme="minorHAnsi"/>
              </w:rPr>
              <w:t xml:space="preserve"> present in virtually all environments. The majority of viruses are bacterial viruses, or bacteriophages. Bacteriophages can transfer genes between bacteria, including virulence factors, metabolic genes, and antibiotic resistance determinants. The extent and relevance of antibiotic resistance transmission by bacteriophages is still poorly understood. </w:t>
            </w:r>
          </w:p>
          <w:p w14:paraId="5895A6BA" w14:textId="6F043B4C" w:rsidR="007770A1" w:rsidRDefault="00B36FE5" w:rsidP="007770A1">
            <w:pPr>
              <w:spacing w:before="100" w:beforeAutospacing="1" w:after="100" w:afterAutospacing="1"/>
              <w:jc w:val="both"/>
              <w:outlineLvl w:val="0"/>
              <w:rPr>
                <w:rFonts w:cstheme="minorHAnsi"/>
              </w:rPr>
            </w:pPr>
            <w:r w:rsidRPr="00B36FE5">
              <w:rPr>
                <w:rFonts w:cstheme="minorHAnsi"/>
              </w:rPr>
              <w:t xml:space="preserve">While antibiotic resistance genes are routinely detected in various viromes, the overall antimicrobial </w:t>
            </w:r>
            <w:r w:rsidR="007770A1">
              <w:rPr>
                <w:rFonts w:cstheme="minorHAnsi"/>
              </w:rPr>
              <w:t xml:space="preserve">resistance </w:t>
            </w:r>
            <w:r w:rsidRPr="00B36FE5">
              <w:rPr>
                <w:rFonts w:cstheme="minorHAnsi"/>
              </w:rPr>
              <w:t xml:space="preserve">potential of environmental phages </w:t>
            </w:r>
            <w:r>
              <w:rPr>
                <w:rFonts w:cstheme="minorHAnsi"/>
              </w:rPr>
              <w:t>remains a controversial topic</w:t>
            </w:r>
            <w:r w:rsidRPr="00B36FE5">
              <w:rPr>
                <w:rFonts w:cstheme="minorHAnsi"/>
              </w:rPr>
              <w:t>.</w:t>
            </w:r>
            <w:r w:rsidR="007770A1">
              <w:rPr>
                <w:rFonts w:cstheme="minorHAnsi"/>
              </w:rPr>
              <w:t xml:space="preserve"> </w:t>
            </w:r>
            <w:r w:rsidR="007770A1" w:rsidRPr="00B36FE5">
              <w:rPr>
                <w:rFonts w:cstheme="minorHAnsi"/>
              </w:rPr>
              <w:t>As antimicrobial resistance continues to spread, improved understanding of the potential role of bacteriophages as vectors of antibiotic resistance genes is necessary</w:t>
            </w:r>
            <w:r w:rsidR="007770A1">
              <w:rPr>
                <w:rFonts w:cstheme="minorHAnsi"/>
              </w:rPr>
              <w:t xml:space="preserve">, </w:t>
            </w:r>
            <w:r w:rsidR="007770A1" w:rsidRPr="00B36FE5">
              <w:rPr>
                <w:rFonts w:cstheme="minorHAnsi"/>
              </w:rPr>
              <w:t>especially taking into account that DNA fragments inside viral particles are better protected from degradation and can accumulate in the environments over time</w:t>
            </w:r>
            <w:r w:rsidR="007770A1">
              <w:rPr>
                <w:rFonts w:cstheme="minorHAnsi"/>
              </w:rPr>
              <w:t>.</w:t>
            </w:r>
          </w:p>
          <w:p w14:paraId="7B5AD308" w14:textId="0C27C79B" w:rsidR="002058F2" w:rsidRDefault="007770A1" w:rsidP="007770A1">
            <w:pPr>
              <w:spacing w:before="100" w:beforeAutospacing="1" w:after="100" w:afterAutospacing="1"/>
              <w:jc w:val="both"/>
              <w:outlineLvl w:val="0"/>
              <w:rPr>
                <w:rFonts w:cstheme="minorHAnsi"/>
              </w:rPr>
            </w:pPr>
            <w:r w:rsidRPr="00B36FE5">
              <w:rPr>
                <w:rFonts w:cstheme="minorHAnsi"/>
              </w:rPr>
              <w:t>To address this</w:t>
            </w:r>
            <w:r>
              <w:rPr>
                <w:rFonts w:cstheme="minorHAnsi"/>
              </w:rPr>
              <w:t>,</w:t>
            </w:r>
            <w:r w:rsidRPr="00B36FE5">
              <w:rPr>
                <w:rFonts w:cstheme="minorHAnsi"/>
              </w:rPr>
              <w:t xml:space="preserve"> in this study </w:t>
            </w:r>
            <w:r>
              <w:rPr>
                <w:rFonts w:cstheme="minorHAnsi"/>
              </w:rPr>
              <w:t>we</w:t>
            </w:r>
            <w:r w:rsidRPr="00B36FE5">
              <w:rPr>
                <w:rFonts w:cstheme="minorHAnsi"/>
              </w:rPr>
              <w:t xml:space="preserve"> for the first time will explore the antibiotic resistance potential of viromes by </w:t>
            </w:r>
            <w:r w:rsidR="002058F2">
              <w:rPr>
                <w:rFonts w:cstheme="minorHAnsi"/>
              </w:rPr>
              <w:t>cloning</w:t>
            </w:r>
            <w:r w:rsidR="00873B07">
              <w:rPr>
                <w:rFonts w:cstheme="minorHAnsi"/>
              </w:rPr>
              <w:t xml:space="preserve"> environmental</w:t>
            </w:r>
            <w:r w:rsidRPr="00B36FE5">
              <w:rPr>
                <w:rFonts w:cstheme="minorHAnsi"/>
              </w:rPr>
              <w:t xml:space="preserve"> </w:t>
            </w:r>
            <w:r w:rsidR="00873B07">
              <w:rPr>
                <w:rFonts w:cstheme="minorHAnsi"/>
              </w:rPr>
              <w:t>bacteriophage</w:t>
            </w:r>
            <w:r w:rsidRPr="00B36FE5">
              <w:rPr>
                <w:rFonts w:cstheme="minorHAnsi"/>
              </w:rPr>
              <w:t xml:space="preserve"> DNA into </w:t>
            </w:r>
            <w:r w:rsidR="002058F2">
              <w:rPr>
                <w:rFonts w:cstheme="minorHAnsi"/>
              </w:rPr>
              <w:t xml:space="preserve">a broad host range vector, transforming the resulting plasmid libraries into a selection of </w:t>
            </w:r>
            <w:r w:rsidR="00873B07">
              <w:rPr>
                <w:rFonts w:cstheme="minorHAnsi"/>
              </w:rPr>
              <w:t>G</w:t>
            </w:r>
            <w:r w:rsidRPr="00B36FE5">
              <w:rPr>
                <w:rFonts w:cstheme="minorHAnsi"/>
              </w:rPr>
              <w:t xml:space="preserve">ram-positive and </w:t>
            </w:r>
            <w:r w:rsidR="00873B07">
              <w:rPr>
                <w:rFonts w:cstheme="minorHAnsi"/>
              </w:rPr>
              <w:t>G</w:t>
            </w:r>
            <w:r w:rsidRPr="00B36FE5">
              <w:rPr>
                <w:rFonts w:cstheme="minorHAnsi"/>
              </w:rPr>
              <w:t xml:space="preserve">ram-negative bacteria and testing the resulting transformants against a representative selection of antibiotics of different classes for acquisition of antibiotic-resistant phenotypes. </w:t>
            </w:r>
            <w:r w:rsidR="002058F2">
              <w:rPr>
                <w:rFonts w:cstheme="minorHAnsi"/>
              </w:rPr>
              <w:t xml:space="preserve">The viromes from which antibiotics resistance genes originated will be subjected to next-generation sequencing to investigate what phages the genes came from and their relative abundance in the viromes. </w:t>
            </w:r>
            <w:r w:rsidR="00B36FE5" w:rsidRPr="00B36FE5">
              <w:rPr>
                <w:rFonts w:cstheme="minorHAnsi"/>
              </w:rPr>
              <w:t xml:space="preserve">The global distribution of these genes will be explored by searching publicly available viral metagenomes. </w:t>
            </w:r>
          </w:p>
          <w:p w14:paraId="7F5DEF18" w14:textId="472AEB64" w:rsidR="007F3CD9" w:rsidRPr="00B36FE5" w:rsidRDefault="002058F2" w:rsidP="007770A1">
            <w:pPr>
              <w:spacing w:before="100" w:beforeAutospacing="1" w:after="100" w:afterAutospacing="1"/>
              <w:jc w:val="both"/>
              <w:outlineLvl w:val="0"/>
              <w:rPr>
                <w:rFonts w:cstheme="minorHAnsi"/>
              </w:rPr>
            </w:pPr>
            <w:r w:rsidRPr="00B36FE5">
              <w:rPr>
                <w:rFonts w:cstheme="minorHAnsi"/>
              </w:rPr>
              <w:t xml:space="preserve">This study will be an exciting opportunity to gain much-needed insight into reservoir of viral genetic diversity and catalogue and characterise functionally active virome-associated antimicrobial resistance genes. </w:t>
            </w:r>
            <w:r>
              <w:rPr>
                <w:rFonts w:cstheme="minorHAnsi"/>
              </w:rPr>
              <w:t>This</w:t>
            </w:r>
            <w:r w:rsidR="00B36FE5" w:rsidRPr="00B36FE5">
              <w:rPr>
                <w:rFonts w:cstheme="minorHAnsi"/>
              </w:rPr>
              <w:t xml:space="preserve"> work will be particularly timely and important in light of growing interest to application of bacteriophages against pathogenic bacteria as therapeutic agents.</w:t>
            </w:r>
          </w:p>
        </w:tc>
      </w:tr>
      <w:tr w:rsidR="00695F66" w14:paraId="64894411" w14:textId="77777777" w:rsidTr="0030136C">
        <w:trPr>
          <w:trHeight w:val="625"/>
        </w:trPr>
        <w:tc>
          <w:tcPr>
            <w:tcW w:w="2250" w:type="dxa"/>
            <w:shd w:val="clear" w:color="auto" w:fill="DEEAF6" w:themeFill="accent1" w:themeFillTint="33"/>
          </w:tcPr>
          <w:p w14:paraId="12992772" w14:textId="7836B000" w:rsidR="00695F66" w:rsidRDefault="000F6B4D">
            <w:pPr>
              <w:rPr>
                <w:b/>
              </w:rPr>
            </w:pPr>
            <w:r>
              <w:rPr>
                <w:b/>
              </w:rPr>
              <w:t>Supervisor(s)</w:t>
            </w:r>
          </w:p>
        </w:tc>
        <w:tc>
          <w:tcPr>
            <w:tcW w:w="6992" w:type="dxa"/>
          </w:tcPr>
          <w:p w14:paraId="606EC8A6" w14:textId="6454CA5B" w:rsidR="002963E1" w:rsidRDefault="00B36FE5" w:rsidP="00421257">
            <w:pPr>
              <w:rPr>
                <w:rFonts w:ascii="Calibri" w:eastAsia="Calibri" w:hAnsi="Calibri"/>
              </w:rPr>
            </w:pPr>
            <w:r>
              <w:rPr>
                <w:rFonts w:ascii="Calibri" w:eastAsia="Calibri" w:hAnsi="Calibri"/>
              </w:rPr>
              <w:t>Dr Timofey Skvortsov</w:t>
            </w:r>
            <w:r w:rsidR="00A26FD6">
              <w:rPr>
                <w:rFonts w:ascii="Calibri" w:eastAsia="Calibri" w:hAnsi="Calibri"/>
              </w:rPr>
              <w:t xml:space="preserve"> (Primary supervisor)</w:t>
            </w:r>
          </w:p>
          <w:p w14:paraId="2847C625" w14:textId="23B8A98A" w:rsidR="008F6E7D" w:rsidRPr="002963E1" w:rsidRDefault="008F6E7D" w:rsidP="00421257">
            <w:pPr>
              <w:rPr>
                <w:rFonts w:ascii="Calibri" w:eastAsia="Calibri" w:hAnsi="Calibri"/>
              </w:rPr>
            </w:pPr>
            <w:r>
              <w:rPr>
                <w:rFonts w:ascii="Calibri" w:eastAsia="Calibri" w:hAnsi="Calibri"/>
              </w:rPr>
              <w:t>Prof Brendan Gilmore</w:t>
            </w:r>
            <w:r w:rsidR="00A26FD6">
              <w:rPr>
                <w:rFonts w:ascii="Calibri" w:eastAsia="Calibri" w:hAnsi="Calibri"/>
              </w:rPr>
              <w:t xml:space="preserve"> (Co-supervisor)</w:t>
            </w:r>
          </w:p>
        </w:tc>
      </w:tr>
      <w:tr w:rsidR="0030136C" w14:paraId="3DE83E55" w14:textId="77777777" w:rsidTr="0030136C">
        <w:trPr>
          <w:trHeight w:val="625"/>
        </w:trPr>
        <w:tc>
          <w:tcPr>
            <w:tcW w:w="2250" w:type="dxa"/>
            <w:shd w:val="clear" w:color="auto" w:fill="DEEAF6" w:themeFill="accent1" w:themeFillTint="33"/>
          </w:tcPr>
          <w:p w14:paraId="06024D8F" w14:textId="38641FA8" w:rsidR="0030136C" w:rsidRPr="00B534CD" w:rsidRDefault="0030136C" w:rsidP="0030136C">
            <w:pPr>
              <w:pStyle w:val="BodyText2"/>
              <w:jc w:val="both"/>
              <w:rPr>
                <w:rFonts w:ascii="Arial" w:hAnsi="Arial" w:cs="Arial"/>
                <w:b/>
                <w:sz w:val="20"/>
              </w:rPr>
            </w:pPr>
            <w:r w:rsidRPr="00B534CD">
              <w:rPr>
                <w:rFonts w:ascii="Arial" w:hAnsi="Arial" w:cs="Arial"/>
                <w:b/>
                <w:sz w:val="20"/>
              </w:rPr>
              <w:t xml:space="preserve">What types of </w:t>
            </w:r>
            <w:r w:rsidR="00CD1978">
              <w:rPr>
                <w:rFonts w:ascii="Arial" w:hAnsi="Arial" w:cs="Arial"/>
                <w:b/>
                <w:sz w:val="20"/>
              </w:rPr>
              <w:t>n</w:t>
            </w:r>
            <w:r w:rsidRPr="00B534CD">
              <w:rPr>
                <w:rFonts w:ascii="Arial" w:hAnsi="Arial" w:cs="Arial"/>
                <w:b/>
                <w:sz w:val="20"/>
              </w:rPr>
              <w:t xml:space="preserve">ew </w:t>
            </w:r>
            <w:r w:rsidR="00CD1978">
              <w:rPr>
                <w:rFonts w:ascii="Arial" w:hAnsi="Arial" w:cs="Arial"/>
                <w:b/>
                <w:sz w:val="20"/>
              </w:rPr>
              <w:t>c</w:t>
            </w:r>
            <w:r w:rsidRPr="00B534CD">
              <w:rPr>
                <w:rFonts w:ascii="Arial" w:hAnsi="Arial" w:cs="Arial"/>
                <w:b/>
                <w:sz w:val="20"/>
              </w:rPr>
              <w:t xml:space="preserve">ollaborative </w:t>
            </w:r>
            <w:r w:rsidR="00CD1978">
              <w:rPr>
                <w:rFonts w:ascii="Arial" w:hAnsi="Arial" w:cs="Arial"/>
                <w:b/>
                <w:sz w:val="20"/>
              </w:rPr>
              <w:t>r</w:t>
            </w:r>
            <w:r w:rsidRPr="00B534CD">
              <w:rPr>
                <w:rFonts w:ascii="Arial" w:hAnsi="Arial" w:cs="Arial"/>
                <w:b/>
                <w:sz w:val="20"/>
              </w:rPr>
              <w:t>elationships would th</w:t>
            </w:r>
            <w:r>
              <w:rPr>
                <w:rFonts w:ascii="Arial" w:hAnsi="Arial" w:cs="Arial"/>
                <w:b/>
                <w:sz w:val="20"/>
              </w:rPr>
              <w:t>is</w:t>
            </w:r>
            <w:r w:rsidRPr="00B534CD">
              <w:rPr>
                <w:rFonts w:ascii="Arial" w:hAnsi="Arial" w:cs="Arial"/>
                <w:b/>
                <w:sz w:val="20"/>
              </w:rPr>
              <w:t xml:space="preserve"> studentship support (e.g. development of national and international </w:t>
            </w:r>
            <w:r w:rsidRPr="00B534CD">
              <w:rPr>
                <w:rFonts w:ascii="Arial" w:hAnsi="Arial" w:cs="Arial"/>
                <w:b/>
                <w:sz w:val="20"/>
              </w:rPr>
              <w:lastRenderedPageBreak/>
              <w:t xml:space="preserve">collaborations or industrial involvement/financial support) (100 words max)  </w:t>
            </w:r>
          </w:p>
          <w:p w14:paraId="1FD7667C" w14:textId="77777777" w:rsidR="0030136C" w:rsidRPr="001B28FF" w:rsidRDefault="0030136C" w:rsidP="0030136C">
            <w:pPr>
              <w:pStyle w:val="BodyText2"/>
              <w:jc w:val="both"/>
              <w:rPr>
                <w:rFonts w:ascii="Arial" w:hAnsi="Arial" w:cs="Arial"/>
                <w:b/>
                <w:sz w:val="20"/>
              </w:rPr>
            </w:pPr>
          </w:p>
        </w:tc>
        <w:tc>
          <w:tcPr>
            <w:tcW w:w="6992" w:type="dxa"/>
          </w:tcPr>
          <w:p w14:paraId="25836C8E" w14:textId="2C940DE4" w:rsidR="0030136C" w:rsidRPr="00FC6F9D" w:rsidRDefault="00B36FE5" w:rsidP="00FC6F9D">
            <w:r w:rsidRPr="00FC6F9D">
              <w:lastRenderedPageBreak/>
              <w:t>This studentship will support development of national and international collaborations</w:t>
            </w:r>
          </w:p>
        </w:tc>
      </w:tr>
      <w:tr w:rsidR="007F3CD9" w14:paraId="63A4072F" w14:textId="77777777" w:rsidTr="0030136C">
        <w:trPr>
          <w:trHeight w:val="470"/>
        </w:trPr>
        <w:tc>
          <w:tcPr>
            <w:tcW w:w="2250" w:type="dxa"/>
            <w:shd w:val="clear" w:color="auto" w:fill="DEEAF6" w:themeFill="accent1" w:themeFillTint="33"/>
          </w:tcPr>
          <w:p w14:paraId="5BAB7BBB" w14:textId="1B4DF7E1" w:rsidR="007F3CD9" w:rsidRPr="007F3CD9" w:rsidRDefault="007F3CD9">
            <w:pPr>
              <w:rPr>
                <w:b/>
              </w:rPr>
            </w:pPr>
            <w:r w:rsidRPr="007F3CD9">
              <w:rPr>
                <w:b/>
              </w:rPr>
              <w:t>Research centre / School</w:t>
            </w:r>
          </w:p>
        </w:tc>
        <w:tc>
          <w:tcPr>
            <w:tcW w:w="6992" w:type="dxa"/>
          </w:tcPr>
          <w:p w14:paraId="5CB695F7" w14:textId="6507E79A" w:rsidR="007F3CD9" w:rsidRDefault="00B36FE5">
            <w:r>
              <w:t>School of Pharmacy</w:t>
            </w:r>
          </w:p>
        </w:tc>
      </w:tr>
      <w:tr w:rsidR="001B792D" w14:paraId="0CE14BC6" w14:textId="77777777" w:rsidTr="0030136C">
        <w:trPr>
          <w:trHeight w:val="470"/>
        </w:trPr>
        <w:tc>
          <w:tcPr>
            <w:tcW w:w="2250" w:type="dxa"/>
            <w:shd w:val="clear" w:color="auto" w:fill="DEEAF6" w:themeFill="accent1" w:themeFillTint="33"/>
          </w:tcPr>
          <w:p w14:paraId="26B489D7" w14:textId="77777777" w:rsidR="001B792D" w:rsidRDefault="001B792D">
            <w:pPr>
              <w:rPr>
                <w:b/>
              </w:rPr>
            </w:pPr>
            <w:r>
              <w:rPr>
                <w:b/>
              </w:rPr>
              <w:t>Subject area</w:t>
            </w:r>
          </w:p>
        </w:tc>
        <w:tc>
          <w:tcPr>
            <w:tcW w:w="6992" w:type="dxa"/>
          </w:tcPr>
          <w:p w14:paraId="7718C8EE" w14:textId="396DB949" w:rsidR="001B792D" w:rsidRDefault="00B36FE5">
            <w:r>
              <w:t>Antimicrobial resistance</w:t>
            </w:r>
            <w:r w:rsidR="00DF53C7">
              <w:t>, environmental microbiology</w:t>
            </w:r>
          </w:p>
        </w:tc>
      </w:tr>
      <w:tr w:rsidR="007F3CD9" w14:paraId="084A1BBF" w14:textId="77777777" w:rsidTr="0030136C">
        <w:trPr>
          <w:trHeight w:val="444"/>
        </w:trPr>
        <w:tc>
          <w:tcPr>
            <w:tcW w:w="2250" w:type="dxa"/>
            <w:shd w:val="clear" w:color="auto" w:fill="DEEAF6" w:themeFill="accent1" w:themeFillTint="33"/>
          </w:tcPr>
          <w:p w14:paraId="3A24A167" w14:textId="5342760E" w:rsidR="007F3CD9" w:rsidRDefault="001B792D">
            <w:pPr>
              <w:rPr>
                <w:b/>
              </w:rPr>
            </w:pPr>
            <w:r>
              <w:rPr>
                <w:b/>
              </w:rPr>
              <w:t>Candidate requirements / K</w:t>
            </w:r>
            <w:r w:rsidR="00695F66">
              <w:rPr>
                <w:b/>
              </w:rPr>
              <w:t>ey skills required for the post</w:t>
            </w:r>
            <w:r w:rsidR="00250DA3">
              <w:rPr>
                <w:b/>
              </w:rPr>
              <w:t xml:space="preserve">.  </w:t>
            </w:r>
            <w:r w:rsidR="00250DA3">
              <w:rPr>
                <w:rFonts w:cs="Arial"/>
              </w:rPr>
              <w:t>Please note for the QUB-DTP awards a</w:t>
            </w:r>
            <w:r w:rsidR="00250DA3" w:rsidRPr="007C3A10">
              <w:rPr>
                <w:rFonts w:cs="Arial"/>
              </w:rPr>
              <w:t xml:space="preserve">pplicants </w:t>
            </w:r>
            <w:r w:rsidR="00250DA3">
              <w:rPr>
                <w:rFonts w:cs="Arial"/>
              </w:rPr>
              <w:t xml:space="preserve">must </w:t>
            </w:r>
            <w:r w:rsidR="00250DA3" w:rsidRPr="007C3A10">
              <w:rPr>
                <w:rFonts w:cs="Arial"/>
              </w:rPr>
              <w:t xml:space="preserve">have a 1st or 2.1 </w:t>
            </w:r>
            <w:r w:rsidR="00250DA3">
              <w:rPr>
                <w:rFonts w:cs="Arial"/>
              </w:rPr>
              <w:t>H</w:t>
            </w:r>
            <w:r w:rsidR="00250DA3" w:rsidRPr="007C3A10">
              <w:rPr>
                <w:rFonts w:cs="Arial"/>
              </w:rPr>
              <w:t>onours degree (or equivalent) in a relevant subject</w:t>
            </w:r>
            <w:r w:rsidR="00250DA3">
              <w:rPr>
                <w:rFonts w:cs="Arial"/>
              </w:rPr>
              <w:t>.</w:t>
            </w:r>
            <w:r w:rsidR="00695F66">
              <w:rPr>
                <w:b/>
              </w:rPr>
              <w:t xml:space="preserve"> </w:t>
            </w:r>
          </w:p>
          <w:p w14:paraId="2A50C848" w14:textId="77777777" w:rsidR="00695F66" w:rsidRPr="007F3CD9" w:rsidRDefault="00695F66">
            <w:pPr>
              <w:rPr>
                <w:b/>
              </w:rPr>
            </w:pPr>
          </w:p>
        </w:tc>
        <w:tc>
          <w:tcPr>
            <w:tcW w:w="6992" w:type="dxa"/>
          </w:tcPr>
          <w:p w14:paraId="78204027" w14:textId="16B72B07" w:rsidR="007F3CD9" w:rsidRPr="007C3A10" w:rsidRDefault="00FC6F9D">
            <w:r w:rsidRPr="00FC6F9D">
              <w:t>Applicants should have a 1st or 2.1 honours degree (or equivalent) in a relevant subject. Relevant subjects include Computer Science, Bioinformatics, Molecular Biology, Molecular Microbiology, Virology, Pharmacy, Pharmaceutical Sciences, Biochemistry, Biological/Biomedical Sciences, Chemistry, Engineering, or a closely related discipline. Students who have a 2.2 honours degree and a Master’s degree may also be considered, but the School reserves the right to shortlist for interview only those applicants who have demonstrated high academic attainment to date</w:t>
            </w:r>
            <w:r>
              <w:t>.</w:t>
            </w:r>
          </w:p>
        </w:tc>
      </w:tr>
      <w:tr w:rsidR="007F3CD9" w14:paraId="2E140338" w14:textId="77777777" w:rsidTr="0030136C">
        <w:trPr>
          <w:trHeight w:val="2715"/>
        </w:trPr>
        <w:tc>
          <w:tcPr>
            <w:tcW w:w="2250" w:type="dxa"/>
            <w:shd w:val="clear" w:color="auto" w:fill="DEEAF6" w:themeFill="accent1" w:themeFillTint="33"/>
          </w:tcPr>
          <w:p w14:paraId="7C1726FF" w14:textId="715B1594" w:rsidR="007F3CD9" w:rsidRPr="007F3CD9" w:rsidRDefault="007F3CD9">
            <w:pPr>
              <w:rPr>
                <w:b/>
              </w:rPr>
            </w:pPr>
            <w:r>
              <w:rPr>
                <w:b/>
              </w:rPr>
              <w:t>Relevant</w:t>
            </w:r>
            <w:r w:rsidRPr="007F3CD9">
              <w:rPr>
                <w:b/>
              </w:rPr>
              <w:t xml:space="preserve"> links </w:t>
            </w:r>
            <w:r w:rsidR="00AB7C4B">
              <w:rPr>
                <w:b/>
              </w:rPr>
              <w:t>for project advertisement</w:t>
            </w:r>
            <w:r w:rsidR="001B792D">
              <w:rPr>
                <w:b/>
              </w:rPr>
              <w:t xml:space="preserve">/ more information </w:t>
            </w:r>
          </w:p>
          <w:p w14:paraId="1F40103B" w14:textId="77777777" w:rsidR="007F3CD9" w:rsidRDefault="007F3CD9"/>
        </w:tc>
        <w:tc>
          <w:tcPr>
            <w:tcW w:w="6992" w:type="dxa"/>
          </w:tcPr>
          <w:p w14:paraId="44492F74" w14:textId="32AAFA0B" w:rsidR="00DE4538" w:rsidRDefault="00DE4538">
            <w:r>
              <w:t xml:space="preserve">1. </w:t>
            </w:r>
            <w:r w:rsidR="00782B2D">
              <w:t xml:space="preserve">Olena, A. (2016) </w:t>
            </w:r>
            <w:r w:rsidR="005F67B3">
              <w:t xml:space="preserve">Phages Carry Antibiotic Resistance Genes. </w:t>
            </w:r>
            <w:r w:rsidR="005F67B3" w:rsidRPr="005F67B3">
              <w:rPr>
                <w:i/>
                <w:iCs/>
              </w:rPr>
              <w:t>The Scientist</w:t>
            </w:r>
            <w:r>
              <w:br/>
            </w:r>
            <w:hyperlink r:id="rId8" w:history="1">
              <w:r w:rsidR="005F67B3" w:rsidRPr="00846B25">
                <w:rPr>
                  <w:rStyle w:val="Hyperlink"/>
                </w:rPr>
                <w:t>https://www.the-scientist.com/news-opinion/phages-carry-antibiotic-resistance-genes-32389</w:t>
              </w:r>
            </w:hyperlink>
            <w:r w:rsidR="005F67B3">
              <w:t xml:space="preserve"> </w:t>
            </w:r>
          </w:p>
          <w:p w14:paraId="77BB6A31" w14:textId="5588C786" w:rsidR="007F3CD9" w:rsidRDefault="00DE4538">
            <w:r>
              <w:t>2</w:t>
            </w:r>
            <w:r w:rsidR="002B1C5D">
              <w:t xml:space="preserve">. </w:t>
            </w:r>
            <w:r w:rsidR="002B1C5D" w:rsidRPr="002B1C5D">
              <w:t xml:space="preserve">Balcazar JL (2014) Bacteriophages as </w:t>
            </w:r>
            <w:r w:rsidR="002B1C5D">
              <w:t>v</w:t>
            </w:r>
            <w:r w:rsidR="002B1C5D" w:rsidRPr="002B1C5D">
              <w:t xml:space="preserve">ehicles for </w:t>
            </w:r>
            <w:r w:rsidR="002B1C5D">
              <w:t>a</w:t>
            </w:r>
            <w:r w:rsidR="002B1C5D" w:rsidRPr="002B1C5D">
              <w:t xml:space="preserve">ntibiotic </w:t>
            </w:r>
            <w:r w:rsidR="002B1C5D">
              <w:t>r</w:t>
            </w:r>
            <w:r w:rsidR="002B1C5D" w:rsidRPr="002B1C5D">
              <w:t xml:space="preserve">esistance </w:t>
            </w:r>
            <w:r w:rsidR="002B1C5D">
              <w:t>g</w:t>
            </w:r>
            <w:r w:rsidR="002B1C5D" w:rsidRPr="002B1C5D">
              <w:t xml:space="preserve">enes in the </w:t>
            </w:r>
            <w:r w:rsidR="002B1C5D">
              <w:t>e</w:t>
            </w:r>
            <w:r w:rsidR="002B1C5D" w:rsidRPr="002B1C5D">
              <w:t xml:space="preserve">nvironment. </w:t>
            </w:r>
            <w:r w:rsidR="002B1C5D" w:rsidRPr="005F67B3">
              <w:rPr>
                <w:i/>
                <w:iCs/>
              </w:rPr>
              <w:t>PLOS Pathogens</w:t>
            </w:r>
            <w:r w:rsidR="002B1C5D" w:rsidRPr="002B1C5D">
              <w:t xml:space="preserve"> 10(7): e1004219. </w:t>
            </w:r>
            <w:hyperlink r:id="rId9" w:history="1">
              <w:r w:rsidR="002B1C5D" w:rsidRPr="00846B25">
                <w:rPr>
                  <w:rStyle w:val="Hyperlink"/>
                </w:rPr>
                <w:t>https://doi.org/10.1371/journal.ppat.1004219</w:t>
              </w:r>
            </w:hyperlink>
          </w:p>
          <w:p w14:paraId="66ADB583" w14:textId="754D39E6" w:rsidR="002B1C5D" w:rsidRDefault="00DE4538">
            <w:r>
              <w:t>3</w:t>
            </w:r>
            <w:r w:rsidR="002B1C5D">
              <w:t xml:space="preserve">. </w:t>
            </w:r>
            <w:r w:rsidR="002B1C5D" w:rsidRPr="002B1C5D">
              <w:t>Enault F, Briet</w:t>
            </w:r>
            <w:r w:rsidR="002B1C5D">
              <w:t xml:space="preserve"> </w:t>
            </w:r>
            <w:r w:rsidR="002B1C5D" w:rsidRPr="002B1C5D">
              <w:t>A, Bouteille L et al.</w:t>
            </w:r>
            <w:r w:rsidR="002B1C5D">
              <w:t xml:space="preserve"> (</w:t>
            </w:r>
            <w:r w:rsidR="002B1C5D" w:rsidRPr="002B1C5D">
              <w:t xml:space="preserve">2017) Phages rarely encode antibiotic resistance genes: a cautionary tale for virome analyses. </w:t>
            </w:r>
            <w:r w:rsidR="002B1C5D" w:rsidRPr="005F67B3">
              <w:rPr>
                <w:i/>
                <w:iCs/>
              </w:rPr>
              <w:t>ISME J</w:t>
            </w:r>
            <w:r w:rsidR="002B1C5D" w:rsidRPr="002B1C5D">
              <w:t xml:space="preserve"> 11, 237–247</w:t>
            </w:r>
            <w:r w:rsidR="002B1C5D">
              <w:t>.</w:t>
            </w:r>
            <w:r w:rsidR="002B1C5D">
              <w:br/>
            </w:r>
            <w:hyperlink r:id="rId10" w:history="1">
              <w:r w:rsidR="002B1C5D" w:rsidRPr="00846B25">
                <w:rPr>
                  <w:rStyle w:val="Hyperlink"/>
                </w:rPr>
                <w:t>https://doi.org/10.1038/ismej.2016.90</w:t>
              </w:r>
            </w:hyperlink>
          </w:p>
          <w:p w14:paraId="19362D9B" w14:textId="2B305B92" w:rsidR="002B1C5D" w:rsidRDefault="00DE4538">
            <w:r>
              <w:t>4</w:t>
            </w:r>
            <w:r w:rsidR="002B1C5D">
              <w:t xml:space="preserve">. </w:t>
            </w:r>
            <w:r w:rsidR="002B1C5D" w:rsidRPr="002B1C5D">
              <w:t xml:space="preserve">Moon K, Jeon JH, Kang I et al. </w:t>
            </w:r>
            <w:r w:rsidR="002B1C5D">
              <w:t>(</w:t>
            </w:r>
            <w:r w:rsidR="002B1C5D" w:rsidRPr="002B1C5D">
              <w:t>2020</w:t>
            </w:r>
            <w:r w:rsidR="002B1C5D">
              <w:t xml:space="preserve">) </w:t>
            </w:r>
            <w:r w:rsidR="002B1C5D" w:rsidRPr="002B1C5D">
              <w:t xml:space="preserve">Freshwater viral metagenome reveals novel and functional phage-borne antibiotic resistance genes. </w:t>
            </w:r>
            <w:r w:rsidR="002B1C5D" w:rsidRPr="005F67B3">
              <w:rPr>
                <w:i/>
                <w:iCs/>
              </w:rPr>
              <w:t>Microbiome</w:t>
            </w:r>
            <w:r w:rsidR="002B1C5D" w:rsidRPr="002B1C5D">
              <w:t xml:space="preserve"> 8, 75</w:t>
            </w:r>
            <w:r w:rsidR="002B1C5D">
              <w:t>.</w:t>
            </w:r>
          </w:p>
          <w:p w14:paraId="7EFE93ED" w14:textId="055C6A7E" w:rsidR="002B1C5D" w:rsidRDefault="00A33CFE">
            <w:hyperlink r:id="rId11" w:history="1">
              <w:r w:rsidR="002B1C5D" w:rsidRPr="00846B25">
                <w:rPr>
                  <w:rStyle w:val="Hyperlink"/>
                </w:rPr>
                <w:t>https://doi.org/10.1186/s40168-020-00863-4</w:t>
              </w:r>
            </w:hyperlink>
          </w:p>
          <w:p w14:paraId="1166C158" w14:textId="77777777" w:rsidR="007C3A10" w:rsidRDefault="007C3A10" w:rsidP="002B1C5D"/>
        </w:tc>
      </w:tr>
      <w:tr w:rsidR="001B792D" w14:paraId="0CE7E555" w14:textId="77777777" w:rsidTr="0030136C">
        <w:trPr>
          <w:trHeight w:val="576"/>
        </w:trPr>
        <w:tc>
          <w:tcPr>
            <w:tcW w:w="2250" w:type="dxa"/>
            <w:shd w:val="clear" w:color="auto" w:fill="DEEAF6" w:themeFill="accent1" w:themeFillTint="33"/>
          </w:tcPr>
          <w:p w14:paraId="50CC424D" w14:textId="77777777" w:rsidR="001B792D" w:rsidRDefault="001B792D">
            <w:pPr>
              <w:rPr>
                <w:b/>
              </w:rPr>
            </w:pPr>
            <w:r>
              <w:rPr>
                <w:b/>
              </w:rPr>
              <w:t>Keywords for search filters</w:t>
            </w:r>
          </w:p>
        </w:tc>
        <w:tc>
          <w:tcPr>
            <w:tcW w:w="6992" w:type="dxa"/>
          </w:tcPr>
          <w:p w14:paraId="47185E56" w14:textId="65717EB2" w:rsidR="001B792D" w:rsidRDefault="007921C7">
            <w:r>
              <w:t xml:space="preserve">Bacteriophage, virus, antimicrobial resistance, </w:t>
            </w:r>
            <w:r w:rsidR="00FC6F9D">
              <w:t>meta</w:t>
            </w:r>
            <w:r>
              <w:t>genomics</w:t>
            </w:r>
          </w:p>
        </w:tc>
      </w:tr>
      <w:tr w:rsidR="00FC6F9D" w14:paraId="495D7918" w14:textId="77777777" w:rsidTr="0030136C">
        <w:trPr>
          <w:trHeight w:val="470"/>
        </w:trPr>
        <w:tc>
          <w:tcPr>
            <w:tcW w:w="2250" w:type="dxa"/>
            <w:shd w:val="clear" w:color="auto" w:fill="DEEAF6" w:themeFill="accent1" w:themeFillTint="33"/>
          </w:tcPr>
          <w:p w14:paraId="3755AA6C" w14:textId="77777777" w:rsidR="00FC6F9D" w:rsidRDefault="00FC6F9D" w:rsidP="00FC6F9D">
            <w:pPr>
              <w:rPr>
                <w:b/>
              </w:rPr>
            </w:pPr>
            <w:r>
              <w:rPr>
                <w:b/>
              </w:rPr>
              <w:t>Training provided through the research project</w:t>
            </w:r>
          </w:p>
        </w:tc>
        <w:tc>
          <w:tcPr>
            <w:tcW w:w="6992" w:type="dxa"/>
          </w:tcPr>
          <w:p w14:paraId="3293DFF2" w14:textId="5118EC5F" w:rsidR="00B20511" w:rsidRDefault="00FC6F9D" w:rsidP="00FC6F9D">
            <w:pPr>
              <w:rPr>
                <w:rFonts w:ascii="Calibri" w:hAnsi="Calibri" w:cs="Calibri"/>
              </w:rPr>
            </w:pPr>
            <w:r w:rsidRPr="00C26105">
              <w:rPr>
                <w:rFonts w:ascii="Calibri" w:hAnsi="Calibri" w:cs="Calibri"/>
              </w:rPr>
              <w:t>The</w:t>
            </w:r>
            <w:r w:rsidR="00365CF5">
              <w:rPr>
                <w:rFonts w:ascii="Calibri" w:hAnsi="Calibri" w:cs="Calibri"/>
              </w:rPr>
              <w:t xml:space="preserve"> aim of the</w:t>
            </w:r>
            <w:r w:rsidRPr="00C26105">
              <w:rPr>
                <w:rFonts w:ascii="Calibri" w:hAnsi="Calibri" w:cs="Calibri"/>
              </w:rPr>
              <w:t xml:space="preserve"> proposed </w:t>
            </w:r>
            <w:r w:rsidR="00365CF5">
              <w:rPr>
                <w:rFonts w:ascii="Calibri" w:hAnsi="Calibri" w:cs="Calibri"/>
              </w:rPr>
              <w:t xml:space="preserve">interdisciplinary </w:t>
            </w:r>
            <w:r w:rsidRPr="00C26105">
              <w:rPr>
                <w:rFonts w:ascii="Calibri" w:hAnsi="Calibri" w:cs="Calibri"/>
              </w:rPr>
              <w:t xml:space="preserve">project </w:t>
            </w:r>
            <w:r w:rsidR="00365CF5">
              <w:rPr>
                <w:rFonts w:ascii="Calibri" w:hAnsi="Calibri" w:cs="Calibri"/>
              </w:rPr>
              <w:t>is to i</w:t>
            </w:r>
            <w:r w:rsidRPr="00C26105">
              <w:rPr>
                <w:rFonts w:ascii="Calibri" w:hAnsi="Calibri" w:cs="Calibri"/>
              </w:rPr>
              <w:t>nvestigat</w:t>
            </w:r>
            <w:r w:rsidR="00365CF5">
              <w:rPr>
                <w:rFonts w:ascii="Calibri" w:hAnsi="Calibri" w:cs="Calibri"/>
              </w:rPr>
              <w:t xml:space="preserve">e the contribution of bacteriophages into the </w:t>
            </w:r>
            <w:r>
              <w:rPr>
                <w:rFonts w:ascii="Calibri" w:hAnsi="Calibri" w:cs="Calibri"/>
              </w:rPr>
              <w:t xml:space="preserve">spread </w:t>
            </w:r>
            <w:r w:rsidR="00365CF5">
              <w:rPr>
                <w:rFonts w:ascii="Calibri" w:hAnsi="Calibri" w:cs="Calibri"/>
              </w:rPr>
              <w:t xml:space="preserve">of antimicrobial resistance </w:t>
            </w:r>
            <w:r>
              <w:rPr>
                <w:rFonts w:ascii="Calibri" w:hAnsi="Calibri" w:cs="Calibri"/>
              </w:rPr>
              <w:t>in natural and built environments</w:t>
            </w:r>
            <w:r w:rsidRPr="00C26105">
              <w:rPr>
                <w:rFonts w:ascii="Calibri" w:hAnsi="Calibri" w:cs="Calibri"/>
              </w:rPr>
              <w:t>.</w:t>
            </w:r>
            <w:r w:rsidR="00365CF5">
              <w:rPr>
                <w:rFonts w:ascii="Calibri" w:hAnsi="Calibri" w:cs="Calibri"/>
              </w:rPr>
              <w:t xml:space="preserve"> During the project, t</w:t>
            </w:r>
            <w:r w:rsidRPr="00C26105">
              <w:rPr>
                <w:rFonts w:ascii="Calibri" w:hAnsi="Calibri" w:cs="Calibri"/>
              </w:rPr>
              <w:t xml:space="preserve">he successful candidate will have an </w:t>
            </w:r>
            <w:r w:rsidR="007102AD">
              <w:rPr>
                <w:rFonts w:ascii="Calibri" w:hAnsi="Calibri" w:cs="Calibri"/>
              </w:rPr>
              <w:t xml:space="preserve">exciting </w:t>
            </w:r>
            <w:r w:rsidRPr="00C26105">
              <w:rPr>
                <w:rFonts w:ascii="Calibri" w:hAnsi="Calibri" w:cs="Calibri"/>
              </w:rPr>
              <w:t>opportunity to learn</w:t>
            </w:r>
            <w:r w:rsidR="007102AD">
              <w:rPr>
                <w:rFonts w:ascii="Calibri" w:hAnsi="Calibri" w:cs="Calibri"/>
              </w:rPr>
              <w:t xml:space="preserve"> a variety of microbiological</w:t>
            </w:r>
            <w:r w:rsidR="002B1C5D">
              <w:rPr>
                <w:rFonts w:ascii="Calibri" w:hAnsi="Calibri" w:cs="Calibri"/>
              </w:rPr>
              <w:t xml:space="preserve"> techniques</w:t>
            </w:r>
            <w:r w:rsidR="00365CF5">
              <w:rPr>
                <w:rFonts w:ascii="Calibri" w:hAnsi="Calibri" w:cs="Calibri"/>
              </w:rPr>
              <w:t>,</w:t>
            </w:r>
            <w:r w:rsidR="007102AD">
              <w:rPr>
                <w:rFonts w:ascii="Calibri" w:hAnsi="Calibri" w:cs="Calibri"/>
              </w:rPr>
              <w:t xml:space="preserve"> including</w:t>
            </w:r>
            <w:r w:rsidR="00365CF5">
              <w:rPr>
                <w:rFonts w:ascii="Calibri" w:hAnsi="Calibri" w:cs="Calibri"/>
              </w:rPr>
              <w:t xml:space="preserve"> </w:t>
            </w:r>
            <w:r w:rsidR="00365CF5" w:rsidRPr="00365CF5">
              <w:rPr>
                <w:rFonts w:ascii="Calibri" w:hAnsi="Calibri" w:cs="Calibri"/>
              </w:rPr>
              <w:t xml:space="preserve">standard bacteriophage isolation, purification and characterisation </w:t>
            </w:r>
            <w:r w:rsidR="007102AD">
              <w:rPr>
                <w:rFonts w:ascii="Calibri" w:hAnsi="Calibri" w:cs="Calibri"/>
              </w:rPr>
              <w:t>approaches</w:t>
            </w:r>
            <w:r w:rsidR="00365CF5">
              <w:rPr>
                <w:rFonts w:ascii="Calibri" w:hAnsi="Calibri" w:cs="Calibri"/>
              </w:rPr>
              <w:t xml:space="preserve"> and gain experience of </w:t>
            </w:r>
            <w:r w:rsidR="00365CF5" w:rsidRPr="00365CF5">
              <w:rPr>
                <w:rFonts w:ascii="Calibri" w:hAnsi="Calibri" w:cs="Calibri"/>
              </w:rPr>
              <w:t>working with bacterial cultures</w:t>
            </w:r>
            <w:r w:rsidR="00365CF5">
              <w:rPr>
                <w:rFonts w:ascii="Calibri" w:hAnsi="Calibri" w:cs="Calibri"/>
              </w:rPr>
              <w:t xml:space="preserve">. </w:t>
            </w:r>
            <w:r w:rsidR="002B1C5D">
              <w:rPr>
                <w:rFonts w:ascii="Calibri" w:hAnsi="Calibri" w:cs="Calibri"/>
              </w:rPr>
              <w:t xml:space="preserve">This work </w:t>
            </w:r>
            <w:r w:rsidR="00B13179">
              <w:rPr>
                <w:rFonts w:ascii="Calibri" w:hAnsi="Calibri" w:cs="Calibri"/>
              </w:rPr>
              <w:t xml:space="preserve">will also involve </w:t>
            </w:r>
            <w:r w:rsidR="00280F44">
              <w:rPr>
                <w:rFonts w:ascii="Calibri" w:hAnsi="Calibri" w:cs="Calibri"/>
              </w:rPr>
              <w:t xml:space="preserve">molecular biology and biochemistry, including </w:t>
            </w:r>
            <w:r w:rsidR="00365CF5" w:rsidRPr="00C26105">
              <w:rPr>
                <w:rFonts w:ascii="Calibri" w:hAnsi="Calibri" w:cs="Calibri"/>
              </w:rPr>
              <w:t>genetic engineering and molecular cloning</w:t>
            </w:r>
            <w:r w:rsidR="00280F44">
              <w:rPr>
                <w:rFonts w:ascii="Calibri" w:hAnsi="Calibri" w:cs="Calibri"/>
              </w:rPr>
              <w:t xml:space="preserve">, and protein expression and purification. </w:t>
            </w:r>
            <w:r w:rsidR="00B20511">
              <w:rPr>
                <w:rFonts w:ascii="Calibri" w:hAnsi="Calibri" w:cs="Calibri"/>
              </w:rPr>
              <w:t xml:space="preserve">The PhD student will be </w:t>
            </w:r>
            <w:r w:rsidR="00365CF5">
              <w:rPr>
                <w:rFonts w:ascii="Calibri" w:hAnsi="Calibri" w:cs="Calibri"/>
              </w:rPr>
              <w:t xml:space="preserve">taught </w:t>
            </w:r>
            <w:r w:rsidR="00280F44">
              <w:rPr>
                <w:rFonts w:ascii="Calibri" w:hAnsi="Calibri" w:cs="Calibri"/>
              </w:rPr>
              <w:t xml:space="preserve">basics of </w:t>
            </w:r>
            <w:r w:rsidR="00365CF5" w:rsidRPr="00C26105">
              <w:rPr>
                <w:rFonts w:ascii="Calibri" w:hAnsi="Calibri" w:cs="Calibri"/>
              </w:rPr>
              <w:t>next-generation sequencing</w:t>
            </w:r>
            <w:r w:rsidR="00280F44">
              <w:rPr>
                <w:rFonts w:ascii="Calibri" w:hAnsi="Calibri" w:cs="Calibri"/>
              </w:rPr>
              <w:t xml:space="preserve"> and provided with necessary bioinformatics training in order to analyse viromes and identify gene sequences of antibiotic resistance genes.</w:t>
            </w:r>
          </w:p>
          <w:p w14:paraId="6C77C214" w14:textId="6E94AFCD" w:rsidR="00B20511" w:rsidRPr="00B20511" w:rsidRDefault="00B20511" w:rsidP="00FC6F9D">
            <w:pPr>
              <w:rPr>
                <w:rFonts w:ascii="Calibri" w:hAnsi="Calibri" w:cs="Calibri"/>
              </w:rPr>
            </w:pPr>
            <w:r>
              <w:rPr>
                <w:rFonts w:ascii="Calibri" w:hAnsi="Calibri" w:cs="Calibri"/>
              </w:rPr>
              <w:t xml:space="preserve">Finally, the student will have an opportunity for </w:t>
            </w:r>
            <w:r w:rsidR="00365CF5">
              <w:rPr>
                <w:rFonts w:ascii="Calibri" w:hAnsi="Calibri" w:cs="Calibri"/>
              </w:rPr>
              <w:t xml:space="preserve">further </w:t>
            </w:r>
            <w:r>
              <w:rPr>
                <w:rFonts w:ascii="Calibri" w:hAnsi="Calibri" w:cs="Calibri"/>
              </w:rPr>
              <w:t xml:space="preserve">personal </w:t>
            </w:r>
            <w:r w:rsidR="00365CF5">
              <w:rPr>
                <w:rFonts w:ascii="Calibri" w:hAnsi="Calibri" w:cs="Calibri"/>
              </w:rPr>
              <w:t xml:space="preserve">and professional </w:t>
            </w:r>
            <w:r>
              <w:rPr>
                <w:rFonts w:ascii="Calibri" w:hAnsi="Calibri" w:cs="Calibri"/>
              </w:rPr>
              <w:t>development through a range of training activities available</w:t>
            </w:r>
            <w:r w:rsidR="00365CF5">
              <w:rPr>
                <w:rFonts w:ascii="Calibri" w:hAnsi="Calibri" w:cs="Calibri"/>
              </w:rPr>
              <w:t xml:space="preserve"> to postgraduate students</w:t>
            </w:r>
            <w:r>
              <w:rPr>
                <w:rFonts w:ascii="Calibri" w:hAnsi="Calibri" w:cs="Calibri"/>
              </w:rPr>
              <w:t xml:space="preserve"> at Queen’s University</w:t>
            </w:r>
            <w:r w:rsidR="002B1C5D">
              <w:rPr>
                <w:rFonts w:ascii="Calibri" w:hAnsi="Calibri" w:cs="Calibri"/>
              </w:rPr>
              <w:t xml:space="preserve"> Belfast</w:t>
            </w:r>
            <w:r>
              <w:rPr>
                <w:rFonts w:ascii="Calibri" w:hAnsi="Calibri" w:cs="Calibri"/>
              </w:rPr>
              <w:t>.</w:t>
            </w:r>
          </w:p>
        </w:tc>
      </w:tr>
      <w:tr w:rsidR="001B792D" w14:paraId="55DD9DB6" w14:textId="77777777" w:rsidTr="0030136C">
        <w:trPr>
          <w:trHeight w:val="470"/>
        </w:trPr>
        <w:tc>
          <w:tcPr>
            <w:tcW w:w="2250" w:type="dxa"/>
            <w:shd w:val="clear" w:color="auto" w:fill="DEEAF6" w:themeFill="accent1" w:themeFillTint="33"/>
          </w:tcPr>
          <w:p w14:paraId="21FB6310" w14:textId="77777777" w:rsidR="001B792D" w:rsidRDefault="001B792D">
            <w:pPr>
              <w:rPr>
                <w:b/>
              </w:rPr>
            </w:pPr>
            <w:r>
              <w:rPr>
                <w:b/>
              </w:rPr>
              <w:lastRenderedPageBreak/>
              <w:t>Expected impact activities</w:t>
            </w:r>
          </w:p>
        </w:tc>
        <w:tc>
          <w:tcPr>
            <w:tcW w:w="6992" w:type="dxa"/>
          </w:tcPr>
          <w:p w14:paraId="2B679BE8" w14:textId="77777777" w:rsidR="00873B07" w:rsidRDefault="007770A1" w:rsidP="00FC6F9D">
            <w:r>
              <w:t>The expected outcome of the project is the creation of a catalogue of experimentally verified antimicrobial resistance genes carried by bacteriophages in Northern Ireland, both already known and novel. The sequences of these genes will be shared with the international research community via dedicated publicly accessible databases, such as FARME DB (F</w:t>
            </w:r>
            <w:r w:rsidRPr="005600A8">
              <w:t xml:space="preserve">unctional </w:t>
            </w:r>
            <w:r>
              <w:t>A</w:t>
            </w:r>
            <w:r w:rsidRPr="005600A8">
              <w:t xml:space="preserve">ntibiotic </w:t>
            </w:r>
            <w:r>
              <w:t>R</w:t>
            </w:r>
            <w:r w:rsidRPr="005600A8">
              <w:t xml:space="preserve">esistance </w:t>
            </w:r>
            <w:r>
              <w:t>E</w:t>
            </w:r>
            <w:r w:rsidRPr="005600A8">
              <w:t xml:space="preserve">lement </w:t>
            </w:r>
            <w:r>
              <w:t>D</w:t>
            </w:r>
            <w:r w:rsidRPr="005600A8">
              <w:t>atabase</w:t>
            </w:r>
            <w:r>
              <w:t>) or CARD (</w:t>
            </w:r>
            <w:r w:rsidRPr="005600A8">
              <w:t>Comprehensive Antibiotic Resistance Database</w:t>
            </w:r>
            <w:r>
              <w:t xml:space="preserve">). </w:t>
            </w:r>
          </w:p>
          <w:p w14:paraId="44143261" w14:textId="40D4DB36" w:rsidR="001B792D" w:rsidRPr="00FC6F9D" w:rsidRDefault="00FC6F9D" w:rsidP="00FC6F9D">
            <w:r w:rsidRPr="00FC6F9D">
              <w:t xml:space="preserve">The PhD student </w:t>
            </w:r>
            <w:r w:rsidR="00DF53C7">
              <w:t>will</w:t>
            </w:r>
            <w:r w:rsidRPr="00FC6F9D">
              <w:t xml:space="preserve"> be encouraged to engage in a variety of impact activities, disseminate the research project findings </w:t>
            </w:r>
            <w:r w:rsidR="00DF53C7">
              <w:t xml:space="preserve">through publications in relevant </w:t>
            </w:r>
            <w:r w:rsidR="0078287F">
              <w:t>peer-reviewed journals</w:t>
            </w:r>
            <w:r w:rsidR="00DF53C7">
              <w:t>, present the results of the study at conferences</w:t>
            </w:r>
            <w:r w:rsidR="0078287F">
              <w:t xml:space="preserve"> (in-person and/or online)</w:t>
            </w:r>
            <w:r w:rsidR="00DF53C7">
              <w:t xml:space="preserve">, and make them </w:t>
            </w:r>
            <w:r w:rsidR="0078287F">
              <w:t>accessible</w:t>
            </w:r>
            <w:r w:rsidR="00DF53C7">
              <w:t xml:space="preserve"> to general public </w:t>
            </w:r>
            <w:r w:rsidR="0078287F">
              <w:t>through broader channels</w:t>
            </w:r>
            <w:r w:rsidR="0078287F" w:rsidRPr="0078287F">
              <w:t>, such as social media and popular science outlets.</w:t>
            </w:r>
            <w:r w:rsidR="0078287F">
              <w:t xml:space="preserve"> </w:t>
            </w:r>
          </w:p>
        </w:tc>
      </w:tr>
    </w:tbl>
    <w:p w14:paraId="31F82D3A" w14:textId="292363C7" w:rsidR="00375356" w:rsidRDefault="00375356"/>
    <w:p w14:paraId="4DB79B30" w14:textId="40315EBE" w:rsidR="00AB7C4B" w:rsidRDefault="00AB7C4B">
      <w:r>
        <w:t>--------------------------------------------------------------------------------------------------------------------------------------</w:t>
      </w:r>
    </w:p>
    <w:p w14:paraId="1DE49AD1" w14:textId="3851DCBF" w:rsidR="00AB7C4B" w:rsidRDefault="00AB7C4B" w:rsidP="00AB7C4B">
      <w:pPr>
        <w:pStyle w:val="BodyText2"/>
        <w:rPr>
          <w:rFonts w:ascii="Arial" w:hAnsi="Arial" w:cs="Arial"/>
          <w:b/>
          <w:sz w:val="20"/>
        </w:rPr>
      </w:pPr>
      <w:r w:rsidRPr="001B28FF">
        <w:rPr>
          <w:rFonts w:ascii="Arial" w:hAnsi="Arial" w:cs="Arial"/>
          <w:b/>
          <w:sz w:val="20"/>
        </w:rPr>
        <w:t>Project details including</w:t>
      </w:r>
      <w:r>
        <w:rPr>
          <w:rFonts w:ascii="Arial" w:hAnsi="Arial" w:cs="Arial"/>
          <w:b/>
          <w:sz w:val="20"/>
        </w:rPr>
        <w:t xml:space="preserve"> expertise in area and workplan</w:t>
      </w:r>
      <w:r w:rsidRPr="001B28FF">
        <w:rPr>
          <w:rFonts w:ascii="Arial" w:hAnsi="Arial" w:cs="Arial"/>
          <w:b/>
          <w:sz w:val="20"/>
        </w:rPr>
        <w:t xml:space="preserve"> (max 1</w:t>
      </w:r>
      <w:r>
        <w:rPr>
          <w:rFonts w:ascii="Arial" w:hAnsi="Arial" w:cs="Arial"/>
          <w:b/>
          <w:sz w:val="20"/>
        </w:rPr>
        <w:t>2</w:t>
      </w:r>
      <w:r w:rsidRPr="001B28FF">
        <w:rPr>
          <w:rFonts w:ascii="Arial" w:hAnsi="Arial" w:cs="Arial"/>
          <w:b/>
          <w:sz w:val="20"/>
        </w:rPr>
        <w:t>00 words)</w:t>
      </w:r>
    </w:p>
    <w:p w14:paraId="5F7CC493" w14:textId="391C7884" w:rsidR="00AB7C4B" w:rsidRDefault="00AB7C4B"/>
    <w:p w14:paraId="1448336D" w14:textId="38BC11C8" w:rsidR="001919E9" w:rsidRPr="001919E9" w:rsidRDefault="001919E9">
      <w:pPr>
        <w:rPr>
          <w:b/>
          <w:bCs/>
        </w:rPr>
      </w:pPr>
      <w:r w:rsidRPr="001919E9">
        <w:rPr>
          <w:b/>
          <w:bCs/>
        </w:rPr>
        <w:t>Project background</w:t>
      </w:r>
    </w:p>
    <w:p w14:paraId="721F41CA" w14:textId="342BDB8B" w:rsidR="000C5574" w:rsidRDefault="000C5574">
      <w:r w:rsidRPr="00220C89">
        <w:t>Antimicrobial resistance (AMR) is a global crisis, threatening to nullify the modern health accomplishments</w:t>
      </w:r>
      <w:r>
        <w:t xml:space="preserve"> </w:t>
      </w:r>
      <w:r w:rsidRPr="00220C89">
        <w:t>achieved through the use of antibiotics. The excessive and inappropriate use of antibiotics imposes selective pressure on bacteria, resulting in proliferation and spread of drug-resistant strains, from which antibiotic resistance genes (ARGs) can be laterally transferred to other bacteria by mobile genetic elements, including bacterial viruses (bacteriophages).</w:t>
      </w:r>
    </w:p>
    <w:p w14:paraId="66A92CF9" w14:textId="3007151F" w:rsidR="001919E9" w:rsidRDefault="00220C89">
      <w:r w:rsidRPr="00220C89">
        <w:t>Many studies have been dedicated to the investigation of occurrence, distribution and abundance of antibiotic resistance genes</w:t>
      </w:r>
      <w:r>
        <w:t xml:space="preserve"> (ARGs)</w:t>
      </w:r>
      <w:r w:rsidRPr="00220C89">
        <w:t xml:space="preserve"> in natural environments. </w:t>
      </w:r>
      <w:r w:rsidR="000C5574" w:rsidRPr="00220C89">
        <w:t>Despite the ever-increasing threat posed by the spread of AMR, surprisingly little is still known about the mobilisation and transmission of ARGs in nature by bacteriophages</w:t>
      </w:r>
      <w:r w:rsidR="000C5574">
        <w:t>: w</w:t>
      </w:r>
      <w:r w:rsidRPr="00220C89">
        <w:t>hile conjugation and transformation have been recognised as important mechanisms in the spread of ARGs, the role of transduction (transfer of bacterial DNA via virus particles) remains relatively understudied. DNA fragments encapsulated in viral capsids are better protected from degradation than naked DNA and can accumulate and spread more efficiently. In a recent study 33 viromes of different origins were analysed and it was found that the non-human viromes contain a large ARG reservoir, suggesting that bacteriophages could play an important role in the spread of resistances in natural environments, especially in aquatic ones</w:t>
      </w:r>
      <w:r w:rsidR="00A01106">
        <w:t xml:space="preserve"> </w:t>
      </w:r>
      <w:r w:rsidR="00A01106">
        <w:rPr>
          <w:rStyle w:val="FootnoteReference"/>
        </w:rPr>
        <w:footnoteReference w:id="1"/>
      </w:r>
      <w:r w:rsidRPr="00220C89">
        <w:t xml:space="preserve">. </w:t>
      </w:r>
    </w:p>
    <w:p w14:paraId="0FEB5616" w14:textId="77777777" w:rsidR="00DE4538" w:rsidRDefault="00220C89">
      <w:r w:rsidRPr="00220C89">
        <w:t xml:space="preserve">Nevertheless, the real extent of ARG transmission by virus-like particles (VLP) remains unknown, as </w:t>
      </w:r>
      <w:r w:rsidR="00DE4538">
        <w:t>the majority</w:t>
      </w:r>
      <w:r w:rsidRPr="00220C89">
        <w:t xml:space="preserve"> studies of viromes have so far focussed on identification of ARGs </w:t>
      </w:r>
      <w:r w:rsidR="00DE4538">
        <w:t>exclusively</w:t>
      </w:r>
      <w:r w:rsidR="00DE4538" w:rsidRPr="00220C89">
        <w:t xml:space="preserve"> </w:t>
      </w:r>
      <w:r w:rsidRPr="00220C89">
        <w:t xml:space="preserve">through sequence similarity searches. </w:t>
      </w:r>
      <w:r w:rsidR="000C5574" w:rsidRPr="00220C89">
        <w:t>While the proportion of ARG-like sequences in viral particle-sized fractions is often substantial, whether or not these genes are functionally active remains to be elucidated. Moreover, novel antimicrobial resistance genes that do not have significant sequence similarity to known ARGs cannot be identified through bioinformatics analyses of metagenomic data alone.</w:t>
      </w:r>
      <w:r w:rsidR="000C5574">
        <w:t xml:space="preserve"> </w:t>
      </w:r>
      <w:r w:rsidRPr="00220C89">
        <w:t xml:space="preserve">This approach allows only for identification of already known ARG genes, but not novel ones. </w:t>
      </w:r>
    </w:p>
    <w:p w14:paraId="4591230B" w14:textId="3A1C79CE" w:rsidR="007770A1" w:rsidRDefault="000C5574">
      <w:r>
        <w:lastRenderedPageBreak/>
        <w:t>T</w:t>
      </w:r>
      <w:r w:rsidR="00220C89" w:rsidRPr="00220C89">
        <w:t xml:space="preserve">wo limited attempts to functionally characterise putative ARGs from viromes found through sequence similarity searches have been made, but protein products of these genes </w:t>
      </w:r>
      <w:r w:rsidR="00575541">
        <w:t>were not</w:t>
      </w:r>
      <w:r w:rsidR="00220C89" w:rsidRPr="00220C89">
        <w:t xml:space="preserve"> active </w:t>
      </w:r>
      <w:r w:rsidR="00220C89" w:rsidRPr="00575541">
        <w:rPr>
          <w:i/>
          <w:iCs/>
        </w:rPr>
        <w:t>in vitro</w:t>
      </w:r>
      <w:r w:rsidR="00A01106" w:rsidRPr="00A01106">
        <w:rPr>
          <w:rStyle w:val="FootnoteReference"/>
        </w:rPr>
        <w:footnoteReference w:id="2"/>
      </w:r>
      <w:r w:rsidR="00A01106" w:rsidRPr="00A01106">
        <w:rPr>
          <w:vertAlign w:val="superscript"/>
        </w:rPr>
        <w:t>,</w:t>
      </w:r>
      <w:r w:rsidR="00A01106" w:rsidRPr="00A01106">
        <w:rPr>
          <w:rStyle w:val="FootnoteReference"/>
        </w:rPr>
        <w:footnoteReference w:id="3"/>
      </w:r>
      <w:r w:rsidR="00220C89" w:rsidRPr="00220C89">
        <w:t>.</w:t>
      </w:r>
      <w:r>
        <w:t xml:space="preserve"> Finally, in a study published this year in </w:t>
      </w:r>
      <w:r w:rsidRPr="000C5574">
        <w:rPr>
          <w:i/>
          <w:iCs/>
        </w:rPr>
        <w:t>Microbiome</w:t>
      </w:r>
      <w:r>
        <w:t xml:space="preserve"> journal</w:t>
      </w:r>
      <w:r w:rsidR="00A01106">
        <w:rPr>
          <w:rStyle w:val="FootnoteReference"/>
        </w:rPr>
        <w:footnoteReference w:id="4"/>
      </w:r>
      <w:r w:rsidR="00A01106">
        <w:t>,</w:t>
      </w:r>
      <w:r>
        <w:t xml:space="preserve"> </w:t>
      </w:r>
      <w:r w:rsidRPr="000C5574">
        <w:t>two new types of β-lactamases</w:t>
      </w:r>
      <w:r>
        <w:t xml:space="preserve"> were identified via functional assays </w:t>
      </w:r>
      <w:r w:rsidRPr="000C5574">
        <w:t>of ARGs recovered from viral contigs</w:t>
      </w:r>
      <w:r>
        <w:t xml:space="preserve">, which is the </w:t>
      </w:r>
      <w:r w:rsidRPr="000C5574">
        <w:t>first convincing evidence of</w:t>
      </w:r>
      <w:r>
        <w:t xml:space="preserve"> functionally active ARGs transferred by phages.</w:t>
      </w:r>
    </w:p>
    <w:p w14:paraId="70DF04E6" w14:textId="77777777" w:rsidR="00DE4538" w:rsidRDefault="000C5574" w:rsidP="00DE4538">
      <w:pPr>
        <w:rPr>
          <w:b/>
          <w:bCs/>
        </w:rPr>
      </w:pPr>
      <w:r w:rsidRPr="000C5574">
        <w:t xml:space="preserve">The proposed PhD project will </w:t>
      </w:r>
      <w:r>
        <w:t xml:space="preserve">address the problem of functional ARGs transfer by phages and will be specifically </w:t>
      </w:r>
      <w:r w:rsidRPr="000C5574">
        <w:t xml:space="preserve">focussed on understanding of the role of bacteriophages in the spread of antimicrobial resistance genes in Northern Ireland. </w:t>
      </w:r>
      <w:r w:rsidR="00347AF0">
        <w:t xml:space="preserve">This will be achieved </w:t>
      </w:r>
      <w:r w:rsidR="00220C89" w:rsidRPr="00220C89">
        <w:t>by performing profiling of several environmental viromes</w:t>
      </w:r>
      <w:r w:rsidR="00DE4538">
        <w:t xml:space="preserve"> for genes encoding active determinants of antibiotic resistance using a functional metagenomics approach</w:t>
      </w:r>
      <w:r w:rsidR="00A75CFE">
        <w:t>.</w:t>
      </w:r>
      <w:r w:rsidR="00DE4538" w:rsidRPr="00DE4538">
        <w:rPr>
          <w:b/>
          <w:bCs/>
        </w:rPr>
        <w:t xml:space="preserve"> </w:t>
      </w:r>
    </w:p>
    <w:p w14:paraId="721A69CE" w14:textId="77777777" w:rsidR="00493AAD" w:rsidRDefault="00493AAD" w:rsidP="00220C89">
      <w:pPr>
        <w:rPr>
          <w:b/>
          <w:bCs/>
        </w:rPr>
      </w:pPr>
    </w:p>
    <w:p w14:paraId="4C6A358F" w14:textId="32FB69E6" w:rsidR="007770A1" w:rsidRPr="00493AAD" w:rsidRDefault="00DE4538" w:rsidP="00220C89">
      <w:pPr>
        <w:rPr>
          <w:b/>
          <w:bCs/>
        </w:rPr>
      </w:pPr>
      <w:r w:rsidRPr="007770A1">
        <w:rPr>
          <w:b/>
          <w:bCs/>
        </w:rPr>
        <w:t>Research workplan</w:t>
      </w:r>
    </w:p>
    <w:p w14:paraId="0311C383" w14:textId="2480A782" w:rsidR="007770A1" w:rsidRPr="007770A1" w:rsidRDefault="007102AD" w:rsidP="00220C89">
      <w:pPr>
        <w:rPr>
          <w:b/>
          <w:bCs/>
        </w:rPr>
      </w:pPr>
      <w:r>
        <w:rPr>
          <w:b/>
          <w:bCs/>
        </w:rPr>
        <w:t>Phase</w:t>
      </w:r>
      <w:r w:rsidR="007770A1" w:rsidRPr="007770A1">
        <w:rPr>
          <w:b/>
          <w:bCs/>
        </w:rPr>
        <w:t xml:space="preserve"> 1</w:t>
      </w:r>
      <w:r w:rsidR="00A75CFE">
        <w:rPr>
          <w:b/>
          <w:bCs/>
        </w:rPr>
        <w:t>.</w:t>
      </w:r>
      <w:r>
        <w:rPr>
          <w:b/>
          <w:bCs/>
        </w:rPr>
        <w:t xml:space="preserve"> Collection </w:t>
      </w:r>
      <w:r w:rsidR="00A75CFE">
        <w:rPr>
          <w:b/>
          <w:bCs/>
        </w:rPr>
        <w:t xml:space="preserve">and processing </w:t>
      </w:r>
      <w:r>
        <w:rPr>
          <w:b/>
          <w:bCs/>
        </w:rPr>
        <w:t>of samples</w:t>
      </w:r>
    </w:p>
    <w:p w14:paraId="7283B00B" w14:textId="38C008C0" w:rsidR="00A75CFE" w:rsidRDefault="007102AD" w:rsidP="00220C89">
      <w:r>
        <w:t>During the initial phase</w:t>
      </w:r>
      <w:r w:rsidR="00347AF0" w:rsidRPr="00347AF0">
        <w:t xml:space="preserve">, </w:t>
      </w:r>
      <w:r w:rsidR="001919E9">
        <w:t xml:space="preserve">liquid </w:t>
      </w:r>
      <w:r w:rsidR="00347AF0" w:rsidRPr="00347AF0">
        <w:t xml:space="preserve">samples will be collected from </w:t>
      </w:r>
      <w:r w:rsidR="00347AF0">
        <w:t xml:space="preserve">both </w:t>
      </w:r>
      <w:r w:rsidR="00347AF0" w:rsidRPr="00347AF0">
        <w:t>potential antimicrobial resistance hotspots (e.g. wastewater treatment plants outflow, slurry tanks)</w:t>
      </w:r>
      <w:r w:rsidR="00347AF0">
        <w:t xml:space="preserve"> and </w:t>
      </w:r>
      <w:r>
        <w:t>freshwater sources (Lough Neagh, River Lagan)</w:t>
      </w:r>
      <w:r w:rsidR="000C5574">
        <w:t xml:space="preserve">. </w:t>
      </w:r>
      <w:r w:rsidR="00347AF0">
        <w:t>V</w:t>
      </w:r>
      <w:r w:rsidR="00220C89" w:rsidRPr="00220C89">
        <w:t>irus-like particle (VLP) fraction will be isolated and concentrated using</w:t>
      </w:r>
      <w:r w:rsidR="00347AF0">
        <w:t xml:space="preserve"> tangential-flow filtration</w:t>
      </w:r>
      <w:r w:rsidR="00091584">
        <w:t xml:space="preserve"> and t</w:t>
      </w:r>
      <w:r w:rsidR="005C790F">
        <w:t xml:space="preserve">he obtained </w:t>
      </w:r>
      <w:r w:rsidR="00091584">
        <w:t xml:space="preserve">VLP </w:t>
      </w:r>
      <w:r w:rsidR="005C790F">
        <w:t xml:space="preserve">concentrates will be stored at </w:t>
      </w:r>
      <w:r w:rsidR="00091584" w:rsidRPr="00091584">
        <w:t>4°C until further use</w:t>
      </w:r>
      <w:r w:rsidR="00091584">
        <w:t xml:space="preserve">. Viral </w:t>
      </w:r>
      <w:r w:rsidR="00220C89" w:rsidRPr="00220C89">
        <w:t>DNA</w:t>
      </w:r>
      <w:r w:rsidR="00091584">
        <w:t xml:space="preserve"> will be</w:t>
      </w:r>
      <w:r w:rsidR="00220C89" w:rsidRPr="00220C89">
        <w:t xml:space="preserve"> extracted</w:t>
      </w:r>
      <w:r w:rsidR="00347AF0">
        <w:t xml:space="preserve"> using standard procedures</w:t>
      </w:r>
      <w:r w:rsidR="001919E9">
        <w:t>, as described previously</w:t>
      </w:r>
      <w:r w:rsidR="00A01106">
        <w:rPr>
          <w:rStyle w:val="FootnoteReference"/>
        </w:rPr>
        <w:footnoteReference w:id="5"/>
      </w:r>
      <w:r w:rsidR="00A01106" w:rsidRPr="00A01106">
        <w:rPr>
          <w:vertAlign w:val="superscript"/>
        </w:rPr>
        <w:t>,</w:t>
      </w:r>
      <w:r w:rsidR="00A01106">
        <w:rPr>
          <w:rStyle w:val="FootnoteReference"/>
        </w:rPr>
        <w:footnoteReference w:id="6"/>
      </w:r>
      <w:r w:rsidR="00A01106">
        <w:t>.</w:t>
      </w:r>
      <w:r w:rsidR="00A75CFE">
        <w:t xml:space="preserve"> The obtained viral metagenomic </w:t>
      </w:r>
      <w:r w:rsidR="00220C89" w:rsidRPr="00220C89">
        <w:t>DNA samples</w:t>
      </w:r>
      <w:r w:rsidR="00A75CFE">
        <w:t xml:space="preserve"> will be used for subsequent experiments.</w:t>
      </w:r>
    </w:p>
    <w:p w14:paraId="0F51696A" w14:textId="1B3D2642" w:rsidR="00A75CFE" w:rsidRDefault="00A75CFE" w:rsidP="00220C89">
      <w:pPr>
        <w:rPr>
          <w:b/>
          <w:bCs/>
        </w:rPr>
      </w:pPr>
      <w:r w:rsidRPr="005F67B3">
        <w:rPr>
          <w:b/>
          <w:bCs/>
        </w:rPr>
        <w:t xml:space="preserve">Phase 2. </w:t>
      </w:r>
      <w:r w:rsidR="005F67B3">
        <w:rPr>
          <w:b/>
          <w:bCs/>
        </w:rPr>
        <w:t>Functional metagenomics</w:t>
      </w:r>
    </w:p>
    <w:p w14:paraId="214185AB" w14:textId="6D6035BD" w:rsidR="005F67B3" w:rsidRDefault="00782B2D" w:rsidP="00220C89">
      <w:r>
        <w:t xml:space="preserve">Viral </w:t>
      </w:r>
      <w:r w:rsidRPr="00782B2D">
        <w:t>DNA</w:t>
      </w:r>
      <w:r>
        <w:t xml:space="preserve"> samples will be amplified by using the whole genome amplification approach (GenomiPhi V2 DNA Amplification Kit), fragmented </w:t>
      </w:r>
      <w:r w:rsidR="00AF20BA">
        <w:t>by sonication and size-selected using agarose gel electrophoresis. After DNA end-repair, plasmid libraries will be constructed</w:t>
      </w:r>
      <w:r w:rsidR="00DD1153">
        <w:t xml:space="preserve">. </w:t>
      </w:r>
      <w:r w:rsidRPr="00220C89">
        <w:t xml:space="preserve">As only about 40% of genes can be functionally expressed in </w:t>
      </w:r>
      <w:r w:rsidRPr="00220C89">
        <w:rPr>
          <w:i/>
          <w:iCs/>
        </w:rPr>
        <w:t>E</w:t>
      </w:r>
      <w:r w:rsidRPr="00347AF0">
        <w:rPr>
          <w:i/>
          <w:iCs/>
        </w:rPr>
        <w:t>scherichia</w:t>
      </w:r>
      <w:r w:rsidRPr="00220C89">
        <w:rPr>
          <w:i/>
          <w:iCs/>
        </w:rPr>
        <w:t xml:space="preserve"> coli</w:t>
      </w:r>
      <w:r w:rsidRPr="00220C89">
        <w:t xml:space="preserve">, the broad-host range plasmid pBAV1K will be used as a vector. The purified plasmid libraries will be transformed into </w:t>
      </w:r>
      <w:r w:rsidRPr="00220C89">
        <w:rPr>
          <w:i/>
          <w:iCs/>
        </w:rPr>
        <w:t>E</w:t>
      </w:r>
      <w:r>
        <w:rPr>
          <w:i/>
          <w:iCs/>
        </w:rPr>
        <w:t xml:space="preserve">. </w:t>
      </w:r>
      <w:r w:rsidRPr="00220C89">
        <w:rPr>
          <w:i/>
          <w:iCs/>
        </w:rPr>
        <w:t>coli</w:t>
      </w:r>
      <w:r w:rsidRPr="00220C89">
        <w:t xml:space="preserve"> and amplified by plating on solid media. The resulting libraries will be transformed into a number of bacterial species, including, </w:t>
      </w:r>
      <w:r>
        <w:t>in addition to</w:t>
      </w:r>
      <w:r w:rsidRPr="00220C89">
        <w:t xml:space="preserve"> </w:t>
      </w:r>
      <w:r w:rsidRPr="00220C89">
        <w:rPr>
          <w:i/>
          <w:iCs/>
        </w:rPr>
        <w:t>E. coli, Bacillus subtilis</w:t>
      </w:r>
      <w:r>
        <w:t xml:space="preserve"> </w:t>
      </w:r>
      <w:r w:rsidRPr="00220C89">
        <w:t>and</w:t>
      </w:r>
      <w:r w:rsidRPr="00220C89">
        <w:rPr>
          <w:i/>
          <w:iCs/>
        </w:rPr>
        <w:t xml:space="preserve"> Pseudomonas putida</w:t>
      </w:r>
      <w:r w:rsidR="00DD1153">
        <w:t>.</w:t>
      </w:r>
      <w:r>
        <w:t xml:space="preserve"> </w:t>
      </w:r>
      <w:r w:rsidR="00DD1153">
        <w:t>The transformed cells will be used f</w:t>
      </w:r>
      <w:r w:rsidRPr="00220C89">
        <w:t>or functional screening by plating the</w:t>
      </w:r>
      <w:r w:rsidR="004E371A">
        <w:t xml:space="preserve">m </w:t>
      </w:r>
      <w:r w:rsidRPr="00220C89">
        <w:t xml:space="preserve">on selective media </w:t>
      </w:r>
      <w:r w:rsidR="00DD1153">
        <w:t>containing different antibiotics</w:t>
      </w:r>
      <w:r w:rsidRPr="00220C89">
        <w:t>. The presence of ARGs will be confirmed by extracting plasmid DNA</w:t>
      </w:r>
      <w:r>
        <w:t xml:space="preserve"> from </w:t>
      </w:r>
      <w:r w:rsidR="00DD1153">
        <w:t>colonies formed on antibiotic-containing media</w:t>
      </w:r>
      <w:r w:rsidRPr="00220C89">
        <w:t xml:space="preserve">, retransforming </w:t>
      </w:r>
      <w:r w:rsidR="0026411F">
        <w:t xml:space="preserve">the plasmids </w:t>
      </w:r>
      <w:r w:rsidRPr="00220C89">
        <w:t xml:space="preserve">into respective bacteria and </w:t>
      </w:r>
      <w:r w:rsidR="00F00392">
        <w:t>re-</w:t>
      </w:r>
      <w:r w:rsidRPr="00220C89">
        <w:t xml:space="preserve">plating </w:t>
      </w:r>
      <w:r w:rsidR="00F00392">
        <w:t xml:space="preserve">them </w:t>
      </w:r>
      <w:r w:rsidRPr="00220C89">
        <w:t>on antibiotic-containing media</w:t>
      </w:r>
      <w:r w:rsidR="00F00392">
        <w:t xml:space="preserve"> again</w:t>
      </w:r>
      <w:r w:rsidRPr="00220C89">
        <w:t xml:space="preserve">. </w:t>
      </w:r>
    </w:p>
    <w:p w14:paraId="69A74B57" w14:textId="51E57395" w:rsidR="005F67B3" w:rsidRPr="00782B2D" w:rsidRDefault="00782B2D" w:rsidP="00220C89">
      <w:pPr>
        <w:rPr>
          <w:b/>
          <w:bCs/>
        </w:rPr>
      </w:pPr>
      <w:r w:rsidRPr="00782B2D">
        <w:rPr>
          <w:b/>
          <w:bCs/>
        </w:rPr>
        <w:t xml:space="preserve">Phase </w:t>
      </w:r>
      <w:r>
        <w:rPr>
          <w:b/>
          <w:bCs/>
        </w:rPr>
        <w:t>3. Experimental validation</w:t>
      </w:r>
    </w:p>
    <w:p w14:paraId="2096971E" w14:textId="3F7CA94B" w:rsidR="005C790F" w:rsidRDefault="00DD1153" w:rsidP="00220C89">
      <w:r w:rsidRPr="00220C89">
        <w:lastRenderedPageBreak/>
        <w:t>Minimal inhibitory concentrations (MICs) of antibiotics against</w:t>
      </w:r>
      <w:r w:rsidR="00F00392">
        <w:t xml:space="preserve"> antibiotic-resistant</w:t>
      </w:r>
      <w:r w:rsidRPr="00220C89">
        <w:t xml:space="preserve"> transformants and growth rates under non-selective conditions will be measured and compared to those of wild-type strains.</w:t>
      </w:r>
      <w:r>
        <w:t xml:space="preserve"> </w:t>
      </w:r>
      <w:r w:rsidR="00782B2D" w:rsidRPr="00220C89">
        <w:t xml:space="preserve">Plasmids validated as containing ARGs will be sequenced, and the presence of these genes in the original virome samples will be confirmed by PCR. </w:t>
      </w:r>
      <w:r w:rsidR="00782B2D">
        <w:t xml:space="preserve">Additionally, to confirm that the transfer of ARGs can occur in nature, VLP concentrates from which novel ARGs are isolated will be used to </w:t>
      </w:r>
      <w:r w:rsidR="00F00392">
        <w:t xml:space="preserve">attempt to </w:t>
      </w:r>
      <w:r w:rsidR="00782B2D">
        <w:t>induce antimicrobial resistance in bacteria by plating bacterial cultures spiked with VLP concentrates on antibiotic-containing solid media. Any surviving colonies will be analysed for the presence of ARGs.</w:t>
      </w:r>
    </w:p>
    <w:p w14:paraId="50A03C6A" w14:textId="77777777" w:rsidR="00782B2D" w:rsidRPr="005F67B3" w:rsidRDefault="00782B2D" w:rsidP="00782B2D">
      <w:pPr>
        <w:rPr>
          <w:b/>
          <w:bCs/>
        </w:rPr>
      </w:pPr>
      <w:r w:rsidRPr="005F67B3">
        <w:rPr>
          <w:b/>
          <w:bCs/>
        </w:rPr>
        <w:t xml:space="preserve">Phase </w:t>
      </w:r>
      <w:r>
        <w:rPr>
          <w:b/>
          <w:bCs/>
        </w:rPr>
        <w:t>4</w:t>
      </w:r>
      <w:r w:rsidRPr="005F67B3">
        <w:rPr>
          <w:b/>
          <w:bCs/>
        </w:rPr>
        <w:t xml:space="preserve">. </w:t>
      </w:r>
      <w:r>
        <w:rPr>
          <w:b/>
          <w:bCs/>
        </w:rPr>
        <w:t>Next-generation sequencing and bioinformatics data analysis</w:t>
      </w:r>
    </w:p>
    <w:p w14:paraId="2E3A941D" w14:textId="7CA9DDA9" w:rsidR="00782B2D" w:rsidRDefault="00782B2D" w:rsidP="00782B2D">
      <w:r w:rsidRPr="00220C89">
        <w:t xml:space="preserve">Experimental studies will be complemented by the bioinformatics analyses, during which publicly available genomic and metagenomic databases will be searched for the presence of </w:t>
      </w:r>
      <w:r>
        <w:t>newly identified</w:t>
      </w:r>
      <w:r w:rsidRPr="00220C89">
        <w:t xml:space="preserve"> ARGs. Finally, next-generation sequencing</w:t>
      </w:r>
      <w:r w:rsidR="00F00392">
        <w:t xml:space="preserve"> </w:t>
      </w:r>
      <w:r w:rsidR="00F00392" w:rsidRPr="00220C89">
        <w:t xml:space="preserve">of the viromes where functional ARGs are detected will be performed </w:t>
      </w:r>
      <w:r w:rsidR="00F00392">
        <w:t xml:space="preserve">(BGI Genomics). Subsequent bioinformatics analysis (metagenome assembly and annotation) will be conducted </w:t>
      </w:r>
      <w:r w:rsidRPr="00220C89">
        <w:t>to</w:t>
      </w:r>
      <w:r>
        <w:t xml:space="preserve"> identify phages carrying the novel ARGs and</w:t>
      </w:r>
      <w:r w:rsidRPr="00220C89">
        <w:t xml:space="preserve"> </w:t>
      </w:r>
      <w:r>
        <w:t xml:space="preserve">estimate </w:t>
      </w:r>
      <w:r w:rsidR="00F00392">
        <w:t xml:space="preserve">their </w:t>
      </w:r>
      <w:r w:rsidRPr="00220C89">
        <w:t>relative abundances.</w:t>
      </w:r>
    </w:p>
    <w:p w14:paraId="2AEB49F2" w14:textId="3BEC9AF1" w:rsidR="005F67B3" w:rsidRDefault="005F67B3" w:rsidP="00FD43A4"/>
    <w:p w14:paraId="20EB8616" w14:textId="11C3F7B7" w:rsidR="005F67B3" w:rsidRPr="005F67B3" w:rsidRDefault="005F67B3">
      <w:pPr>
        <w:rPr>
          <w:b/>
          <w:bCs/>
        </w:rPr>
      </w:pPr>
      <w:r w:rsidRPr="005F67B3">
        <w:rPr>
          <w:b/>
          <w:bCs/>
        </w:rPr>
        <w:t>Supervisors</w:t>
      </w:r>
      <w:r w:rsidR="005C790F">
        <w:rPr>
          <w:b/>
          <w:bCs/>
        </w:rPr>
        <w:t>’ expertise</w:t>
      </w:r>
      <w:r w:rsidR="00FD43A4">
        <w:rPr>
          <w:b/>
          <w:bCs/>
        </w:rPr>
        <w:t xml:space="preserve"> and relevant publications</w:t>
      </w:r>
    </w:p>
    <w:p w14:paraId="18170BA7" w14:textId="075846BC" w:rsidR="00873B07" w:rsidRDefault="00937BD7" w:rsidP="00937BD7">
      <w:pPr>
        <w:jc w:val="both"/>
      </w:pPr>
      <w:r>
        <w:rPr>
          <w:rFonts w:cstheme="minorHAnsi"/>
          <w:bCs/>
          <w:iCs/>
        </w:rPr>
        <w:t xml:space="preserve">Dr Timofey Skvortsov has extensive theoretical and practical knowledge of viral and microbial metagenomics. One of his recent projects was an extensive analysis of temporal dynamics of Lough Neagh viromes </w:t>
      </w:r>
      <w:r>
        <w:rPr>
          <w:rFonts w:cstheme="minorHAnsi"/>
          <w:bCs/>
          <w:iCs/>
        </w:rPr>
        <w:fldChar w:fldCharType="begin"/>
      </w:r>
      <w:r>
        <w:rPr>
          <w:rFonts w:cstheme="minorHAnsi"/>
          <w:bCs/>
          <w:iCs/>
        </w:rPr>
        <w:instrText xml:space="preserve"> ADDIN ZOTERO_ITEM CSL_CITATION {"citationID":"kKAUCh7Y","properties":{"formattedCitation":"(1, 2)","plainCitation":"(1, 2)","noteIndex":0},"citationItems":[{"id":63,"uris":["http://zotero.org/users/2157408/items/FMPSXA2A"],"uri":["http://zotero.org/users/2157408/items/FMPSXA2A"],"itemData":{"id":63,"type":"article-journal","container-title":"The ISME Journal","DOI":"10.1038/ismej.2017.157","ISSN":"1751-7362, 1751-7370","issue":"1","language":"en","page":"199-211","source":"Crossref","title":"Temporal dynamics of uncultured viruses: a new dimension in viral diversity","title-short":"Temporal dynamics of uncultured viruses","volume":"12","author":[{"family":"Arkhipova","given":"Ksenia"},{"family":"Skvortsov","given":"Timofey"},{"family":"Quinn","given":"John P"},{"family":"McGrath","given":"John W"},{"family":"Allen","given":"Christopher CR"},{"family":"Dutilh","given":"Bas E"},{"family":"McElarney","given":"Yvonne"},{"family":"Kulakov","given":"Leonid A"}],"issued":{"date-parts":[["2018",1]]}},"label":"page"},{"id":2877,"uris":["http://zotero.org/users/2157408/items/5NZKMCP8"],"uri":["http://zotero.org/users/2157408/items/5NZKMCP8"],"itemData":{"id":2877,"type":"article-journal","abstract":"Lough Neagh is the largest and the most economically important lake in Ireland. It is also one of the most nutrient rich amongst the world’s major lakes. In this study, 16S rRNA analysis of total metagenomic DNA from the water column of Lough Neagh has revealed a high proportion of Cyanobacteria and low levels of Actinobacteria, Acidobacteria, Chloroflexi, and Firmicutes. The planktonic virome of Lough Neagh has been sequenced and 2,298,791 2×300 bp Illumina reads analysed. Comparison with previously characterised lakes demonstrates that the Lough Neagh viral community has the highest level of sequence diversity. Only about 15% of reads had homologs in the RefSeq database and tailed bacteriophages (Caudovirales) were identified as a major grouping. Within the Caudovirales, the Podoviridae and Siphoviridae were the two most dominant families (34.3% and 32.8% of the reads with sequence homology to the RefSeq database), while ssDNA bacteriophages constituted less than 1% of the virome. Putative cyanophages were found to be abundant. 66,450 viral contigs were assembled with the largest one being 58,805 bp; its existence, and that of another 34,467 bp contig, in the water column was confirmed. Analysis of the contigs confirmed the high abundance of cyanophages in the water column.","container-title":"PLOS ONE","DOI":"10.1371/journal.pone.0150361","ISSN":"1932-6203","issue":"2","journalAbbreviation":"PLOS ONE","language":"en","page":"e0150361","source":"PLoS Journals","title":"Metagenomic Characterisation of the Viral Community of Lough Neagh, the Largest Freshwater Lake in Ireland","volume":"11","author":[{"family":"Skvortsov","given":"Timofey"},{"family":"Leeuwe","given":"Colin","dropping-particle":"de"},{"family":"Quinn","given":"John P."},{"family":"McGrath","given":"John W."},{"family":"Allen","given":"Christopher C. R."},{"family":"McElarney","given":"Yvonne"},{"family":"Watson","given":"Catherine"},{"family":"Arkhipova","given":"Ksenia"},{"family":"Lavigne","given":"Rob"},{"family":"Kulakov","given":"Leonid A."}],"issued":{"date-parts":[["2016",2,29]]}},"label":"page"}],"schema":"https://github.com/citation-style-language/schema/raw/master/csl-citation.json"} </w:instrText>
      </w:r>
      <w:r>
        <w:rPr>
          <w:rFonts w:cstheme="minorHAnsi"/>
          <w:bCs/>
          <w:iCs/>
        </w:rPr>
        <w:fldChar w:fldCharType="separate"/>
      </w:r>
      <w:r>
        <w:rPr>
          <w:rFonts w:cstheme="minorHAnsi"/>
          <w:bCs/>
          <w:iCs/>
          <w:noProof/>
        </w:rPr>
        <w:t>(1, 2)</w:t>
      </w:r>
      <w:r>
        <w:rPr>
          <w:rFonts w:cstheme="minorHAnsi"/>
          <w:bCs/>
          <w:iCs/>
        </w:rPr>
        <w:fldChar w:fldCharType="end"/>
      </w:r>
      <w:r>
        <w:rPr>
          <w:rFonts w:cstheme="minorHAnsi"/>
          <w:bCs/>
          <w:iCs/>
        </w:rPr>
        <w:t xml:space="preserve">, during which more 9000 novel viral genomes were assembled, characterised taxonomically and functionally and their abundance was  tracked throughout the period of one year. </w:t>
      </w:r>
      <w:r>
        <w:rPr>
          <w:lang w:val="en-US"/>
        </w:rPr>
        <w:t>As a leading specialist in research on antimicrobial resistance, Professor Gilmore will provide guidance on all aspects of this study related to ant</w:t>
      </w:r>
      <w:r>
        <w:t>ibiotics and antibiotic resistance genes.</w:t>
      </w:r>
    </w:p>
    <w:p w14:paraId="5308B3F6" w14:textId="2C6B55B0" w:rsidR="00873B07" w:rsidRDefault="00A33CFE" w:rsidP="00873B07">
      <w:pPr>
        <w:pStyle w:val="ListParagraph"/>
        <w:numPr>
          <w:ilvl w:val="0"/>
          <w:numId w:val="2"/>
        </w:numPr>
        <w:jc w:val="both"/>
        <w:rPr>
          <w:rFonts w:cstheme="minorHAnsi"/>
          <w:bCs/>
          <w:iCs/>
        </w:rPr>
      </w:pPr>
      <w:hyperlink r:id="rId12" w:history="1">
        <w:r w:rsidR="00873B07" w:rsidRPr="00706C2E">
          <w:rPr>
            <w:rStyle w:val="Hyperlink"/>
            <w:rFonts w:cstheme="minorHAnsi"/>
            <w:bCs/>
            <w:iCs/>
          </w:rPr>
          <w:t>Dr Timofey Skvortsov</w:t>
        </w:r>
      </w:hyperlink>
      <w:r w:rsidR="00873B07">
        <w:rPr>
          <w:rFonts w:cstheme="minorHAnsi"/>
          <w:bCs/>
          <w:iCs/>
        </w:rPr>
        <w:t xml:space="preserve"> </w:t>
      </w:r>
      <w:r w:rsidR="00FD43A4">
        <w:rPr>
          <w:rFonts w:cstheme="minorHAnsi"/>
          <w:bCs/>
          <w:iCs/>
        </w:rPr>
        <w:t xml:space="preserve">(MRSB) </w:t>
      </w:r>
      <w:r w:rsidR="00873B07">
        <w:rPr>
          <w:rFonts w:cstheme="minorHAnsi"/>
          <w:bCs/>
          <w:iCs/>
        </w:rPr>
        <w:t xml:space="preserve">is a Lecturer in Microbial Bioinformatics at the School of Pharmacy. Dr Skvortsov’s research interests lie in the areas of bacteriophage biology and viral metagenomics. His </w:t>
      </w:r>
      <w:r w:rsidR="00873B07" w:rsidRPr="00650B9C">
        <w:rPr>
          <w:rFonts w:cstheme="minorHAnsi"/>
          <w:bCs/>
          <w:iCs/>
        </w:rPr>
        <w:t xml:space="preserve">research </w:t>
      </w:r>
      <w:r w:rsidR="00873B07">
        <w:rPr>
          <w:rFonts w:cstheme="minorHAnsi"/>
          <w:bCs/>
          <w:iCs/>
        </w:rPr>
        <w:t xml:space="preserve">is currently focussed on development of </w:t>
      </w:r>
      <w:r w:rsidR="00873B07" w:rsidRPr="00650B9C">
        <w:rPr>
          <w:rFonts w:cstheme="minorHAnsi"/>
          <w:bCs/>
          <w:iCs/>
        </w:rPr>
        <w:t xml:space="preserve">bacteriophage-derived antimicrobial agents for the detection, control and elimination of clinically important </w:t>
      </w:r>
      <w:r w:rsidR="00873B07">
        <w:rPr>
          <w:rFonts w:cstheme="minorHAnsi"/>
          <w:bCs/>
          <w:iCs/>
        </w:rPr>
        <w:t>pathogens</w:t>
      </w:r>
      <w:r w:rsidR="00873B07" w:rsidRPr="00650B9C">
        <w:rPr>
          <w:rFonts w:cstheme="minorHAnsi"/>
          <w:bCs/>
          <w:iCs/>
        </w:rPr>
        <w:t xml:space="preserve">. </w:t>
      </w:r>
      <w:r w:rsidR="00873B07">
        <w:rPr>
          <w:rFonts w:cstheme="minorHAnsi"/>
          <w:bCs/>
          <w:iCs/>
        </w:rPr>
        <w:t xml:space="preserve">This </w:t>
      </w:r>
      <w:r w:rsidR="00873B07" w:rsidRPr="00650B9C">
        <w:rPr>
          <w:rFonts w:cstheme="minorHAnsi"/>
          <w:bCs/>
          <w:iCs/>
        </w:rPr>
        <w:t>work is interdisciplinary in nature and relies heavily on application of methods of molecular biology, microbiology and bioinformatics approaches.</w:t>
      </w:r>
      <w:r w:rsidR="00873B07">
        <w:rPr>
          <w:rFonts w:cstheme="minorHAnsi"/>
          <w:bCs/>
          <w:iCs/>
        </w:rPr>
        <w:t xml:space="preserve"> Dr Skvortsov published </w:t>
      </w:r>
      <w:r w:rsidR="00FB06DB">
        <w:rPr>
          <w:rFonts w:cstheme="minorHAnsi"/>
          <w:bCs/>
          <w:iCs/>
        </w:rPr>
        <w:t>40</w:t>
      </w:r>
      <w:r w:rsidR="00873B07">
        <w:rPr>
          <w:rFonts w:cstheme="minorHAnsi"/>
          <w:bCs/>
          <w:iCs/>
        </w:rPr>
        <w:t xml:space="preserve"> articles in high profile scientific journals</w:t>
      </w:r>
      <w:r w:rsidR="001919E9">
        <w:rPr>
          <w:rFonts w:cstheme="minorHAnsi"/>
          <w:bCs/>
          <w:iCs/>
        </w:rPr>
        <w:t>.</w:t>
      </w:r>
      <w:r w:rsidR="00873B07">
        <w:rPr>
          <w:rFonts w:cstheme="minorHAnsi"/>
          <w:bCs/>
          <w:iCs/>
        </w:rPr>
        <w:t xml:space="preserve"> He currently supervises one and co-supervises three PhD students.</w:t>
      </w:r>
    </w:p>
    <w:p w14:paraId="03F5C55C" w14:textId="0A29B3A9" w:rsidR="00220C89" w:rsidRPr="00FB06DB" w:rsidRDefault="00A33CFE" w:rsidP="00FB06DB">
      <w:pPr>
        <w:pStyle w:val="ListParagraph"/>
        <w:numPr>
          <w:ilvl w:val="0"/>
          <w:numId w:val="2"/>
        </w:numPr>
        <w:jc w:val="both"/>
      </w:pPr>
      <w:hyperlink r:id="rId13" w:history="1">
        <w:r w:rsidR="00873B07" w:rsidRPr="007102AD">
          <w:rPr>
            <w:rStyle w:val="Hyperlink"/>
            <w:rFonts w:cstheme="minorHAnsi"/>
            <w:bCs/>
            <w:iCs/>
          </w:rPr>
          <w:t>Prof Brendan Gilmore</w:t>
        </w:r>
      </w:hyperlink>
      <w:r w:rsidR="00873B07">
        <w:rPr>
          <w:rFonts w:cstheme="minorHAnsi"/>
          <w:bCs/>
          <w:iCs/>
        </w:rPr>
        <w:t xml:space="preserve"> </w:t>
      </w:r>
      <w:r w:rsidR="00FD43A4">
        <w:rPr>
          <w:rFonts w:cstheme="minorHAnsi"/>
          <w:bCs/>
          <w:iCs/>
        </w:rPr>
        <w:t xml:space="preserve">(FRSC FLS FRSB) </w:t>
      </w:r>
      <w:r w:rsidR="00873B07">
        <w:rPr>
          <w:rFonts w:cstheme="minorHAnsi"/>
          <w:bCs/>
          <w:iCs/>
        </w:rPr>
        <w:t xml:space="preserve">is </w:t>
      </w:r>
      <w:r w:rsidR="007102AD">
        <w:t>a Profess</w:t>
      </w:r>
      <w:r w:rsidR="00FD43A4">
        <w:t xml:space="preserve">or of Pharmaceutical Microbiology </w:t>
      </w:r>
      <w:r w:rsidR="00A01106">
        <w:t xml:space="preserve">and President of </w:t>
      </w:r>
      <w:r w:rsidR="00A01106" w:rsidRPr="00A01106">
        <w:t>President of the Society for Applied Microbiology</w:t>
      </w:r>
      <w:r w:rsidR="00A01106">
        <w:t xml:space="preserve">. </w:t>
      </w:r>
      <w:r w:rsidR="00FB06DB" w:rsidRPr="00FB06DB">
        <w:t>Prof Gilmore’s research team are focused on understanding the processes which govern bacterial biofilm formation and tolerance to antibiotics, and the discovery of novel antibiotics and disinfectant approaches. His recent work has included the application of cold plasmas for biofilm decontamination, discovery of novel antibiotics and biocatalytic enzymes from extremely halophilic microorganisms (using both culture-based and metagenomic approaches) and uncovering novel druggable targets in bacterial biofilm formation among the ESKAPE pathogens using molecular tools to identify and inhibit proteolytic enzymes involved in biofilm development, as adjuvants to conventional antimicrobial agents.</w:t>
      </w:r>
      <w:r w:rsidR="00FB06DB">
        <w:t xml:space="preserve"> Professor Gilmore is an author of more than 200 papers in high impact journals and an</w:t>
      </w:r>
      <w:r w:rsidR="00937BD7">
        <w:t xml:space="preserve"> author and </w:t>
      </w:r>
      <w:r w:rsidR="00FB06DB">
        <w:t xml:space="preserve"> editor of a </w:t>
      </w:r>
      <w:r w:rsidR="00937BD7">
        <w:t>key text on Pharmaceutical Microbiology (Hu</w:t>
      </w:r>
      <w:r w:rsidR="00937BD7" w:rsidRPr="00937BD7">
        <w:t>go &amp; Russell's Pharmaceutical Microbiology 8th Edition</w:t>
      </w:r>
      <w:r w:rsidR="00937BD7">
        <w:t>).</w:t>
      </w:r>
    </w:p>
    <w:p w14:paraId="5108D262" w14:textId="5A7BEAF7" w:rsidR="00FB06DB" w:rsidRDefault="00FB06DB" w:rsidP="00A01106">
      <w:pPr>
        <w:jc w:val="both"/>
      </w:pPr>
    </w:p>
    <w:p w14:paraId="378304C0" w14:textId="77777777" w:rsidR="00FB06DB" w:rsidRPr="00FB06DB" w:rsidRDefault="00FB06DB" w:rsidP="00FB06DB">
      <w:pPr>
        <w:pStyle w:val="Bibliography"/>
        <w:spacing w:line="240" w:lineRule="auto"/>
        <w:rPr>
          <w:rFonts w:ascii="Calibri" w:cs="Calibri"/>
        </w:rPr>
      </w:pPr>
      <w:r>
        <w:rPr>
          <w:rFonts w:cstheme="minorHAnsi"/>
          <w:bCs/>
          <w:iCs/>
        </w:rPr>
        <w:lastRenderedPageBreak/>
        <w:fldChar w:fldCharType="begin"/>
      </w:r>
      <w:r>
        <w:rPr>
          <w:rFonts w:cstheme="minorHAnsi"/>
          <w:bCs/>
          <w:iCs/>
        </w:rPr>
        <w:instrText xml:space="preserve"> ADDIN ZOTERO_BIBL {"uncited":[],"omitted":[],"custom":[]} CSL_BIBLIOGRAPHY </w:instrText>
      </w:r>
      <w:r>
        <w:rPr>
          <w:rFonts w:cstheme="minorHAnsi"/>
          <w:bCs/>
          <w:iCs/>
        </w:rPr>
        <w:fldChar w:fldCharType="separate"/>
      </w:r>
      <w:r w:rsidRPr="00FB06DB">
        <w:rPr>
          <w:rFonts w:ascii="Calibri" w:cs="Calibri"/>
        </w:rPr>
        <w:t xml:space="preserve">1. </w:t>
      </w:r>
      <w:r w:rsidRPr="00FB06DB">
        <w:rPr>
          <w:rFonts w:ascii="Calibri" w:cs="Calibri"/>
        </w:rPr>
        <w:tab/>
        <w:t>Arkhipova K, Skvortsov T, Quinn JP, McGrath JW, Allen CC, Dutilh BE, McElarney Y, Kulakov LA. 2018. Temporal dynamics of uncultured viruses: a new dimension in viral diversity. ISME J 12:199–211.</w:t>
      </w:r>
    </w:p>
    <w:p w14:paraId="385A1C6E" w14:textId="77777777" w:rsidR="00FB06DB" w:rsidRPr="00FB06DB" w:rsidRDefault="00FB06DB" w:rsidP="00FB06DB">
      <w:pPr>
        <w:pStyle w:val="Bibliography"/>
        <w:spacing w:line="240" w:lineRule="auto"/>
        <w:rPr>
          <w:rFonts w:ascii="Calibri" w:cs="Calibri"/>
        </w:rPr>
      </w:pPr>
      <w:r w:rsidRPr="00FB06DB">
        <w:rPr>
          <w:rFonts w:ascii="Calibri" w:cs="Calibri"/>
        </w:rPr>
        <w:t xml:space="preserve">2. </w:t>
      </w:r>
      <w:r w:rsidRPr="00FB06DB">
        <w:rPr>
          <w:rFonts w:ascii="Calibri" w:cs="Calibri"/>
        </w:rPr>
        <w:tab/>
        <w:t>Skvortsov T, Leeuwe C de, Quinn JP, McGrath JW, Allen CCR, McElarney Y, Watson C, Arkhipova K, Lavigne R, Kulakov LA. 2016. Metagenomic Characterisation of the Viral Community of Lough Neagh, the Largest Freshwater Lake in Ireland. PLOS ONE 11:e0150361.</w:t>
      </w:r>
    </w:p>
    <w:p w14:paraId="5EF1FF1D" w14:textId="0B1FEE51" w:rsidR="00FB06DB" w:rsidRPr="00A01106" w:rsidRDefault="00FB06DB" w:rsidP="00A01106">
      <w:pPr>
        <w:jc w:val="both"/>
        <w:rPr>
          <w:rFonts w:cstheme="minorHAnsi"/>
          <w:bCs/>
          <w:iCs/>
        </w:rPr>
      </w:pPr>
      <w:r>
        <w:rPr>
          <w:rFonts w:cstheme="minorHAnsi"/>
          <w:bCs/>
          <w:iCs/>
        </w:rPr>
        <w:fldChar w:fldCharType="end"/>
      </w:r>
    </w:p>
    <w:sectPr w:rsidR="00FB06DB" w:rsidRPr="00A011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DD8BC" w14:textId="77777777" w:rsidR="00A33CFE" w:rsidRDefault="00A33CFE" w:rsidP="00FD43A4">
      <w:pPr>
        <w:spacing w:after="0" w:line="240" w:lineRule="auto"/>
      </w:pPr>
      <w:r>
        <w:separator/>
      </w:r>
    </w:p>
  </w:endnote>
  <w:endnote w:type="continuationSeparator" w:id="0">
    <w:p w14:paraId="5003C195" w14:textId="77777777" w:rsidR="00A33CFE" w:rsidRDefault="00A33CFE" w:rsidP="00FD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F4BF0" w14:textId="77777777" w:rsidR="00A33CFE" w:rsidRDefault="00A33CFE" w:rsidP="00FD43A4">
      <w:pPr>
        <w:spacing w:after="0" w:line="240" w:lineRule="auto"/>
      </w:pPr>
      <w:r>
        <w:separator/>
      </w:r>
    </w:p>
  </w:footnote>
  <w:footnote w:type="continuationSeparator" w:id="0">
    <w:p w14:paraId="5CEC33D9" w14:textId="77777777" w:rsidR="00A33CFE" w:rsidRDefault="00A33CFE" w:rsidP="00FD43A4">
      <w:pPr>
        <w:spacing w:after="0" w:line="240" w:lineRule="auto"/>
      </w:pPr>
      <w:r>
        <w:continuationSeparator/>
      </w:r>
    </w:p>
  </w:footnote>
  <w:footnote w:id="1">
    <w:p w14:paraId="174B2A2F" w14:textId="532C1280" w:rsidR="00A01106" w:rsidRDefault="00A01106" w:rsidP="00A01106">
      <w:pPr>
        <w:pStyle w:val="FootnoteText"/>
      </w:pPr>
      <w:r>
        <w:rPr>
          <w:rStyle w:val="FootnoteReference"/>
        </w:rPr>
        <w:footnoteRef/>
      </w:r>
      <w:r>
        <w:t xml:space="preserve"> Lekunberri I, Subirats J, Borrego CM, Balcázar JL. 2017. Exploring the contribution of bacteriophages to antibiotic resistance. Environ Pollut 220:981–984.</w:t>
      </w:r>
    </w:p>
    <w:p w14:paraId="1AC2213A" w14:textId="25410069" w:rsidR="00A01106" w:rsidRDefault="00A01106" w:rsidP="00A01106">
      <w:pPr>
        <w:pStyle w:val="FootnoteText"/>
      </w:pPr>
    </w:p>
  </w:footnote>
  <w:footnote w:id="2">
    <w:p w14:paraId="19EDFF62" w14:textId="718BB24A" w:rsidR="00A01106" w:rsidRDefault="00A01106" w:rsidP="00A01106">
      <w:pPr>
        <w:pStyle w:val="FootnoteText"/>
      </w:pPr>
      <w:r>
        <w:rPr>
          <w:rStyle w:val="FootnoteReference"/>
        </w:rPr>
        <w:footnoteRef/>
      </w:r>
      <w:r>
        <w:t xml:space="preserve"> Enault F, Briet A, Bouteille L, Roux S, Sullivan MB, Petit M-A. 2017. Phages rarely encode antibiotic resistance genes: a cautionary tale for virome analyses. ISME J 11:237–247.</w:t>
      </w:r>
    </w:p>
  </w:footnote>
  <w:footnote w:id="3">
    <w:p w14:paraId="205773BA" w14:textId="08A05362" w:rsidR="00A01106" w:rsidRDefault="00A01106" w:rsidP="00A01106">
      <w:pPr>
        <w:pStyle w:val="FootnoteText"/>
      </w:pPr>
      <w:r>
        <w:rPr>
          <w:rStyle w:val="FootnoteReference"/>
        </w:rPr>
        <w:footnoteRef/>
      </w:r>
      <w:r>
        <w:t xml:space="preserve"> Parsley LC, Consuegra EJ, Kakirde KS, Land AM, Harper WF, Liles MR. 2010. Identification of Diverse Antimicrobial Resistance Determinants Carried on Bacterial, Plasmid, or Viral Metagenomes from an Activated Sludge Microbial Assemblage. Appl Environ Microbiol 76:3753–3757.</w:t>
      </w:r>
    </w:p>
  </w:footnote>
  <w:footnote w:id="4">
    <w:p w14:paraId="52D12561" w14:textId="7552260D" w:rsidR="00A01106" w:rsidRDefault="00A01106" w:rsidP="00A01106">
      <w:pPr>
        <w:pStyle w:val="FootnoteText"/>
      </w:pPr>
      <w:r>
        <w:rPr>
          <w:rStyle w:val="FootnoteReference"/>
        </w:rPr>
        <w:footnoteRef/>
      </w:r>
      <w:r>
        <w:t xml:space="preserve"> </w:t>
      </w:r>
      <w:r w:rsidRPr="00A01106">
        <w:t>Moon K, Jeon JH, Kang I, Park KS, Lee K, Cha C-J, Lee SH, Cho J-C. 2020. Freshwater viral metagenome reveals novel and functional phage-borne antibiotic resistance genes. Microbiome 8:75.</w:t>
      </w:r>
    </w:p>
  </w:footnote>
  <w:footnote w:id="5">
    <w:p w14:paraId="09070709" w14:textId="472623C4" w:rsidR="00A01106" w:rsidRDefault="00A01106" w:rsidP="00A01106">
      <w:pPr>
        <w:pStyle w:val="FootnoteText"/>
      </w:pPr>
      <w:r>
        <w:rPr>
          <w:rStyle w:val="FootnoteReference"/>
        </w:rPr>
        <w:footnoteRef/>
      </w:r>
      <w:r>
        <w:t xml:space="preserve"> </w:t>
      </w:r>
      <w:r w:rsidRPr="00A01106">
        <w:t>Skvortsov T, Leeuwe C de, Quinn JP, McGrath JW, Allen CCR, McElarney Y, Watson C, Arkhipova K, Lavigne R, Kulakov LA. 2016. Metagenomic Characterisation of the Viral Community of Lough Neagh, the Largest Freshwater Lake in Ireland. PLOS ONE 11:e0150361.</w:t>
      </w:r>
    </w:p>
  </w:footnote>
  <w:footnote w:id="6">
    <w:p w14:paraId="71BC916F" w14:textId="48F9067B" w:rsidR="00A01106" w:rsidRDefault="00A01106">
      <w:pPr>
        <w:pStyle w:val="FootnoteText"/>
      </w:pPr>
      <w:r>
        <w:rPr>
          <w:rStyle w:val="FootnoteReference"/>
        </w:rPr>
        <w:footnoteRef/>
      </w:r>
      <w:r>
        <w:t xml:space="preserve"> </w:t>
      </w:r>
      <w:r w:rsidRPr="00A01106">
        <w:t>Arkhipova K, Skvortsov T, Quinn JP, McGrath JW, Allen CC, Dutilh BE, McElarney Y, Kulakov LA. 2018. Temporal dynamics of uncultured viruses: a new dimension in viral diversity. ISME J 12:199–211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C3B63"/>
    <w:multiLevelType w:val="hybridMultilevel"/>
    <w:tmpl w:val="6080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D9"/>
    <w:rsid w:val="00001543"/>
    <w:rsid w:val="00002F77"/>
    <w:rsid w:val="000140E0"/>
    <w:rsid w:val="00017B3A"/>
    <w:rsid w:val="000211E7"/>
    <w:rsid w:val="00036AC1"/>
    <w:rsid w:val="00057B3D"/>
    <w:rsid w:val="0006375D"/>
    <w:rsid w:val="0006730B"/>
    <w:rsid w:val="00074FC2"/>
    <w:rsid w:val="00076683"/>
    <w:rsid w:val="0008106D"/>
    <w:rsid w:val="00087903"/>
    <w:rsid w:val="00091584"/>
    <w:rsid w:val="00093ED6"/>
    <w:rsid w:val="000976C2"/>
    <w:rsid w:val="000B5232"/>
    <w:rsid w:val="000B5533"/>
    <w:rsid w:val="000C5574"/>
    <w:rsid w:val="000C6238"/>
    <w:rsid w:val="000D526E"/>
    <w:rsid w:val="000F0B0E"/>
    <w:rsid w:val="000F380D"/>
    <w:rsid w:val="000F550F"/>
    <w:rsid w:val="000F6B4D"/>
    <w:rsid w:val="000F6C8E"/>
    <w:rsid w:val="00100C14"/>
    <w:rsid w:val="00114809"/>
    <w:rsid w:val="001215F1"/>
    <w:rsid w:val="00125BB4"/>
    <w:rsid w:val="00127B6D"/>
    <w:rsid w:val="0013226E"/>
    <w:rsid w:val="00136716"/>
    <w:rsid w:val="00136A7C"/>
    <w:rsid w:val="0014119A"/>
    <w:rsid w:val="00147201"/>
    <w:rsid w:val="00152845"/>
    <w:rsid w:val="00152DAA"/>
    <w:rsid w:val="00152DD3"/>
    <w:rsid w:val="00157E70"/>
    <w:rsid w:val="001757EF"/>
    <w:rsid w:val="001865C3"/>
    <w:rsid w:val="00190974"/>
    <w:rsid w:val="001919E9"/>
    <w:rsid w:val="001976E1"/>
    <w:rsid w:val="001A6C6F"/>
    <w:rsid w:val="001B35A8"/>
    <w:rsid w:val="001B56F1"/>
    <w:rsid w:val="001B7418"/>
    <w:rsid w:val="001B792D"/>
    <w:rsid w:val="001B7A47"/>
    <w:rsid w:val="001C09BA"/>
    <w:rsid w:val="001C15E7"/>
    <w:rsid w:val="001C36D8"/>
    <w:rsid w:val="001C59A2"/>
    <w:rsid w:val="001C6CFE"/>
    <w:rsid w:val="001D5A77"/>
    <w:rsid w:val="001E0C79"/>
    <w:rsid w:val="001E10DB"/>
    <w:rsid w:val="001E6AE7"/>
    <w:rsid w:val="001F273F"/>
    <w:rsid w:val="001F700A"/>
    <w:rsid w:val="0020192E"/>
    <w:rsid w:val="002058F2"/>
    <w:rsid w:val="0020699C"/>
    <w:rsid w:val="00211ADC"/>
    <w:rsid w:val="00220C89"/>
    <w:rsid w:val="002212E2"/>
    <w:rsid w:val="00221990"/>
    <w:rsid w:val="0023305E"/>
    <w:rsid w:val="00234A97"/>
    <w:rsid w:val="00237E60"/>
    <w:rsid w:val="002438AA"/>
    <w:rsid w:val="0024565D"/>
    <w:rsid w:val="00250DA3"/>
    <w:rsid w:val="0026411F"/>
    <w:rsid w:val="002663D0"/>
    <w:rsid w:val="002679A5"/>
    <w:rsid w:val="00270CA4"/>
    <w:rsid w:val="00275E36"/>
    <w:rsid w:val="00276A24"/>
    <w:rsid w:val="00280F44"/>
    <w:rsid w:val="00286380"/>
    <w:rsid w:val="00287196"/>
    <w:rsid w:val="002963E1"/>
    <w:rsid w:val="002A0180"/>
    <w:rsid w:val="002A22B2"/>
    <w:rsid w:val="002A6F4F"/>
    <w:rsid w:val="002B1C5D"/>
    <w:rsid w:val="002B644E"/>
    <w:rsid w:val="002B6455"/>
    <w:rsid w:val="002E0374"/>
    <w:rsid w:val="002E42C8"/>
    <w:rsid w:val="002E6701"/>
    <w:rsid w:val="002F06D8"/>
    <w:rsid w:val="002F38B4"/>
    <w:rsid w:val="002F3D8F"/>
    <w:rsid w:val="00300B77"/>
    <w:rsid w:val="0030136C"/>
    <w:rsid w:val="00303DAB"/>
    <w:rsid w:val="00312241"/>
    <w:rsid w:val="00315F1B"/>
    <w:rsid w:val="00322E90"/>
    <w:rsid w:val="0034159F"/>
    <w:rsid w:val="003418CF"/>
    <w:rsid w:val="00342E0B"/>
    <w:rsid w:val="003437FB"/>
    <w:rsid w:val="00346EA7"/>
    <w:rsid w:val="00347872"/>
    <w:rsid w:val="00347AF0"/>
    <w:rsid w:val="00353B81"/>
    <w:rsid w:val="00365CF5"/>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21257"/>
    <w:rsid w:val="0043514D"/>
    <w:rsid w:val="00437BE9"/>
    <w:rsid w:val="0044610F"/>
    <w:rsid w:val="00450AEA"/>
    <w:rsid w:val="00452039"/>
    <w:rsid w:val="004658F1"/>
    <w:rsid w:val="0047023E"/>
    <w:rsid w:val="0047276F"/>
    <w:rsid w:val="00480978"/>
    <w:rsid w:val="00480D4A"/>
    <w:rsid w:val="0048607D"/>
    <w:rsid w:val="004874AA"/>
    <w:rsid w:val="0048775E"/>
    <w:rsid w:val="00493AAD"/>
    <w:rsid w:val="004A4702"/>
    <w:rsid w:val="004B66EE"/>
    <w:rsid w:val="004C36C5"/>
    <w:rsid w:val="004C4456"/>
    <w:rsid w:val="004C5821"/>
    <w:rsid w:val="004C6CB4"/>
    <w:rsid w:val="004D2EF5"/>
    <w:rsid w:val="004D4D51"/>
    <w:rsid w:val="004D7242"/>
    <w:rsid w:val="004E371A"/>
    <w:rsid w:val="004E5754"/>
    <w:rsid w:val="004E57B7"/>
    <w:rsid w:val="004F4713"/>
    <w:rsid w:val="004F57F3"/>
    <w:rsid w:val="00502C57"/>
    <w:rsid w:val="00507600"/>
    <w:rsid w:val="00527250"/>
    <w:rsid w:val="0053253B"/>
    <w:rsid w:val="0053628D"/>
    <w:rsid w:val="00541A46"/>
    <w:rsid w:val="00550AAE"/>
    <w:rsid w:val="00553AB1"/>
    <w:rsid w:val="005600A8"/>
    <w:rsid w:val="00567EBE"/>
    <w:rsid w:val="00575541"/>
    <w:rsid w:val="0058648B"/>
    <w:rsid w:val="005A4DBD"/>
    <w:rsid w:val="005B1A39"/>
    <w:rsid w:val="005B5E39"/>
    <w:rsid w:val="005B7F83"/>
    <w:rsid w:val="005C790F"/>
    <w:rsid w:val="005D1843"/>
    <w:rsid w:val="005D4DF9"/>
    <w:rsid w:val="005D6C6C"/>
    <w:rsid w:val="005E19CD"/>
    <w:rsid w:val="005F2741"/>
    <w:rsid w:val="005F301D"/>
    <w:rsid w:val="005F67B3"/>
    <w:rsid w:val="00621F17"/>
    <w:rsid w:val="00636529"/>
    <w:rsid w:val="00636A02"/>
    <w:rsid w:val="0064028D"/>
    <w:rsid w:val="00640638"/>
    <w:rsid w:val="0064387C"/>
    <w:rsid w:val="00656476"/>
    <w:rsid w:val="00657EC8"/>
    <w:rsid w:val="00663A1A"/>
    <w:rsid w:val="006815A5"/>
    <w:rsid w:val="00695F66"/>
    <w:rsid w:val="006977CC"/>
    <w:rsid w:val="006B2D8B"/>
    <w:rsid w:val="006B5E92"/>
    <w:rsid w:val="006C2131"/>
    <w:rsid w:val="006C5676"/>
    <w:rsid w:val="006C60CA"/>
    <w:rsid w:val="006C7069"/>
    <w:rsid w:val="006C778B"/>
    <w:rsid w:val="006D1994"/>
    <w:rsid w:val="006E3AAA"/>
    <w:rsid w:val="006E4E27"/>
    <w:rsid w:val="006F6EA4"/>
    <w:rsid w:val="00700E2F"/>
    <w:rsid w:val="00703E40"/>
    <w:rsid w:val="00704886"/>
    <w:rsid w:val="007102AD"/>
    <w:rsid w:val="00720F2B"/>
    <w:rsid w:val="00727F85"/>
    <w:rsid w:val="007347D4"/>
    <w:rsid w:val="0075794A"/>
    <w:rsid w:val="00757A63"/>
    <w:rsid w:val="007627E0"/>
    <w:rsid w:val="0076752E"/>
    <w:rsid w:val="0077082C"/>
    <w:rsid w:val="00771690"/>
    <w:rsid w:val="00771E79"/>
    <w:rsid w:val="0077245E"/>
    <w:rsid w:val="00776188"/>
    <w:rsid w:val="007770A1"/>
    <w:rsid w:val="00781A8B"/>
    <w:rsid w:val="00781ED6"/>
    <w:rsid w:val="0078287F"/>
    <w:rsid w:val="00782B2D"/>
    <w:rsid w:val="007921C7"/>
    <w:rsid w:val="00793FA5"/>
    <w:rsid w:val="007B185B"/>
    <w:rsid w:val="007B1FB4"/>
    <w:rsid w:val="007B2C32"/>
    <w:rsid w:val="007B515E"/>
    <w:rsid w:val="007B5CF8"/>
    <w:rsid w:val="007B6E4A"/>
    <w:rsid w:val="007C3A10"/>
    <w:rsid w:val="007D2A36"/>
    <w:rsid w:val="007E0D0E"/>
    <w:rsid w:val="007E6E7C"/>
    <w:rsid w:val="007F3B9F"/>
    <w:rsid w:val="007F3CD9"/>
    <w:rsid w:val="007F7C74"/>
    <w:rsid w:val="008022E0"/>
    <w:rsid w:val="0081399F"/>
    <w:rsid w:val="00821CE6"/>
    <w:rsid w:val="00823089"/>
    <w:rsid w:val="00835A1C"/>
    <w:rsid w:val="00836A05"/>
    <w:rsid w:val="0084000F"/>
    <w:rsid w:val="0085153F"/>
    <w:rsid w:val="00854482"/>
    <w:rsid w:val="0085462F"/>
    <w:rsid w:val="00862594"/>
    <w:rsid w:val="0087029C"/>
    <w:rsid w:val="00873281"/>
    <w:rsid w:val="00873B07"/>
    <w:rsid w:val="00877834"/>
    <w:rsid w:val="00880D9A"/>
    <w:rsid w:val="0088290A"/>
    <w:rsid w:val="00884B0B"/>
    <w:rsid w:val="0088648A"/>
    <w:rsid w:val="0089003B"/>
    <w:rsid w:val="00890EB8"/>
    <w:rsid w:val="008937DE"/>
    <w:rsid w:val="00893C50"/>
    <w:rsid w:val="00897BAA"/>
    <w:rsid w:val="008A002F"/>
    <w:rsid w:val="008C083D"/>
    <w:rsid w:val="008F1C24"/>
    <w:rsid w:val="008F6045"/>
    <w:rsid w:val="008F6E7D"/>
    <w:rsid w:val="00925FA3"/>
    <w:rsid w:val="009279B9"/>
    <w:rsid w:val="009328B8"/>
    <w:rsid w:val="00937BD7"/>
    <w:rsid w:val="009453CE"/>
    <w:rsid w:val="0095334C"/>
    <w:rsid w:val="00956BE2"/>
    <w:rsid w:val="00957551"/>
    <w:rsid w:val="00960566"/>
    <w:rsid w:val="00981E1C"/>
    <w:rsid w:val="00982267"/>
    <w:rsid w:val="00982CC7"/>
    <w:rsid w:val="00991636"/>
    <w:rsid w:val="00993573"/>
    <w:rsid w:val="00996932"/>
    <w:rsid w:val="009B03F1"/>
    <w:rsid w:val="009B569A"/>
    <w:rsid w:val="009D2BCC"/>
    <w:rsid w:val="009D483E"/>
    <w:rsid w:val="009D4AE3"/>
    <w:rsid w:val="009E7110"/>
    <w:rsid w:val="009F0F1A"/>
    <w:rsid w:val="009F4EDF"/>
    <w:rsid w:val="00A01106"/>
    <w:rsid w:val="00A0196B"/>
    <w:rsid w:val="00A05C2D"/>
    <w:rsid w:val="00A131B2"/>
    <w:rsid w:val="00A14FEA"/>
    <w:rsid w:val="00A24586"/>
    <w:rsid w:val="00A2502A"/>
    <w:rsid w:val="00A26FD6"/>
    <w:rsid w:val="00A30D12"/>
    <w:rsid w:val="00A33CFE"/>
    <w:rsid w:val="00A3441A"/>
    <w:rsid w:val="00A354B3"/>
    <w:rsid w:val="00A404C0"/>
    <w:rsid w:val="00A4488B"/>
    <w:rsid w:val="00A51E47"/>
    <w:rsid w:val="00A75CFE"/>
    <w:rsid w:val="00A768A4"/>
    <w:rsid w:val="00A907D7"/>
    <w:rsid w:val="00A90948"/>
    <w:rsid w:val="00A946F0"/>
    <w:rsid w:val="00AA53C1"/>
    <w:rsid w:val="00AB4CB5"/>
    <w:rsid w:val="00AB72A5"/>
    <w:rsid w:val="00AB76CD"/>
    <w:rsid w:val="00AB7C4B"/>
    <w:rsid w:val="00AC07AE"/>
    <w:rsid w:val="00AC1FE9"/>
    <w:rsid w:val="00AD429E"/>
    <w:rsid w:val="00AD6DB6"/>
    <w:rsid w:val="00AE15FE"/>
    <w:rsid w:val="00AF20BA"/>
    <w:rsid w:val="00AF3133"/>
    <w:rsid w:val="00B030A3"/>
    <w:rsid w:val="00B07BDF"/>
    <w:rsid w:val="00B13179"/>
    <w:rsid w:val="00B1507C"/>
    <w:rsid w:val="00B160F9"/>
    <w:rsid w:val="00B16E01"/>
    <w:rsid w:val="00B20511"/>
    <w:rsid w:val="00B21B3C"/>
    <w:rsid w:val="00B27846"/>
    <w:rsid w:val="00B359EF"/>
    <w:rsid w:val="00B363F2"/>
    <w:rsid w:val="00B36FE5"/>
    <w:rsid w:val="00B40805"/>
    <w:rsid w:val="00B40C54"/>
    <w:rsid w:val="00B4262C"/>
    <w:rsid w:val="00B42F58"/>
    <w:rsid w:val="00B44FF9"/>
    <w:rsid w:val="00B47154"/>
    <w:rsid w:val="00B50BAC"/>
    <w:rsid w:val="00B55E28"/>
    <w:rsid w:val="00B6354C"/>
    <w:rsid w:val="00B703CE"/>
    <w:rsid w:val="00BA71ED"/>
    <w:rsid w:val="00BB6F08"/>
    <w:rsid w:val="00BC2944"/>
    <w:rsid w:val="00BE346B"/>
    <w:rsid w:val="00BF08BD"/>
    <w:rsid w:val="00BF17EC"/>
    <w:rsid w:val="00BF4B26"/>
    <w:rsid w:val="00BF57DC"/>
    <w:rsid w:val="00C12418"/>
    <w:rsid w:val="00C2183A"/>
    <w:rsid w:val="00C263B0"/>
    <w:rsid w:val="00C31A8A"/>
    <w:rsid w:val="00C3441B"/>
    <w:rsid w:val="00C428CF"/>
    <w:rsid w:val="00C47094"/>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1978"/>
    <w:rsid w:val="00CD4D50"/>
    <w:rsid w:val="00CE1429"/>
    <w:rsid w:val="00CE50BE"/>
    <w:rsid w:val="00CE6CFB"/>
    <w:rsid w:val="00D00807"/>
    <w:rsid w:val="00D0311E"/>
    <w:rsid w:val="00D113D5"/>
    <w:rsid w:val="00D11B48"/>
    <w:rsid w:val="00D1708D"/>
    <w:rsid w:val="00D23483"/>
    <w:rsid w:val="00D31D29"/>
    <w:rsid w:val="00D367BF"/>
    <w:rsid w:val="00D5030D"/>
    <w:rsid w:val="00D5690F"/>
    <w:rsid w:val="00D57854"/>
    <w:rsid w:val="00D64E36"/>
    <w:rsid w:val="00D804A3"/>
    <w:rsid w:val="00D80D41"/>
    <w:rsid w:val="00D82FEF"/>
    <w:rsid w:val="00D91A1F"/>
    <w:rsid w:val="00DA3F99"/>
    <w:rsid w:val="00DB009E"/>
    <w:rsid w:val="00DB437C"/>
    <w:rsid w:val="00DB450E"/>
    <w:rsid w:val="00DB709B"/>
    <w:rsid w:val="00DC5B83"/>
    <w:rsid w:val="00DD1153"/>
    <w:rsid w:val="00DD1D77"/>
    <w:rsid w:val="00DD6932"/>
    <w:rsid w:val="00DE4538"/>
    <w:rsid w:val="00DF148B"/>
    <w:rsid w:val="00DF53C7"/>
    <w:rsid w:val="00E11BB2"/>
    <w:rsid w:val="00E166B5"/>
    <w:rsid w:val="00E177D8"/>
    <w:rsid w:val="00E2148C"/>
    <w:rsid w:val="00E27D11"/>
    <w:rsid w:val="00E35E2D"/>
    <w:rsid w:val="00E36870"/>
    <w:rsid w:val="00E41AE4"/>
    <w:rsid w:val="00E44D18"/>
    <w:rsid w:val="00E455CC"/>
    <w:rsid w:val="00E465B3"/>
    <w:rsid w:val="00E471FE"/>
    <w:rsid w:val="00E5373D"/>
    <w:rsid w:val="00E55956"/>
    <w:rsid w:val="00E618A6"/>
    <w:rsid w:val="00E62BE0"/>
    <w:rsid w:val="00E720D9"/>
    <w:rsid w:val="00E721FA"/>
    <w:rsid w:val="00E731E0"/>
    <w:rsid w:val="00E76C26"/>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00392"/>
    <w:rsid w:val="00F1151C"/>
    <w:rsid w:val="00F2645B"/>
    <w:rsid w:val="00F276FA"/>
    <w:rsid w:val="00F333AB"/>
    <w:rsid w:val="00F376E8"/>
    <w:rsid w:val="00F45400"/>
    <w:rsid w:val="00F52902"/>
    <w:rsid w:val="00F53AD2"/>
    <w:rsid w:val="00F56B33"/>
    <w:rsid w:val="00F61002"/>
    <w:rsid w:val="00F74680"/>
    <w:rsid w:val="00F76DAC"/>
    <w:rsid w:val="00F813F0"/>
    <w:rsid w:val="00F81886"/>
    <w:rsid w:val="00F82BDB"/>
    <w:rsid w:val="00F848EA"/>
    <w:rsid w:val="00F90DB4"/>
    <w:rsid w:val="00FB06DB"/>
    <w:rsid w:val="00FB3233"/>
    <w:rsid w:val="00FB6942"/>
    <w:rsid w:val="00FC08F5"/>
    <w:rsid w:val="00FC2092"/>
    <w:rsid w:val="00FC4575"/>
    <w:rsid w:val="00FC6F9D"/>
    <w:rsid w:val="00FD37C6"/>
    <w:rsid w:val="00FD43A4"/>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22A02"/>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65C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NormalWeb">
    <w:name w:val="Normal (Web)"/>
    <w:basedOn w:val="Normal"/>
    <w:uiPriority w:val="99"/>
    <w:semiHidden/>
    <w:unhideWhenUsed/>
    <w:rsid w:val="002E42C8"/>
    <w:pPr>
      <w:spacing w:after="0" w:line="240" w:lineRule="auto"/>
    </w:pPr>
    <w:rPr>
      <w:rFonts w:ascii="Arial" w:eastAsiaTheme="minorEastAsia" w:hAnsi="Arial" w:cs="Arial"/>
      <w:color w:val="333333"/>
      <w:lang w:eastAsia="en-GB"/>
    </w:rPr>
  </w:style>
  <w:style w:type="character" w:customStyle="1" w:styleId="highlight1">
    <w:name w:val="highlight1"/>
    <w:rsid w:val="002E42C8"/>
    <w:rPr>
      <w:shd w:val="clear" w:color="auto" w:fill="F2F5F8"/>
    </w:rPr>
  </w:style>
  <w:style w:type="character" w:customStyle="1" w:styleId="apple-converted-space">
    <w:name w:val="apple-converted-space"/>
    <w:basedOn w:val="DefaultParagraphFont"/>
    <w:rsid w:val="00421257"/>
  </w:style>
  <w:style w:type="character" w:customStyle="1" w:styleId="s2">
    <w:name w:val="s2"/>
    <w:basedOn w:val="DefaultParagraphFont"/>
    <w:rsid w:val="00421257"/>
  </w:style>
  <w:style w:type="character" w:customStyle="1" w:styleId="UnresolvedMention">
    <w:name w:val="Unresolved Mention"/>
    <w:basedOn w:val="DefaultParagraphFont"/>
    <w:uiPriority w:val="99"/>
    <w:semiHidden/>
    <w:unhideWhenUsed/>
    <w:rsid w:val="00421257"/>
    <w:rPr>
      <w:color w:val="605E5C"/>
      <w:shd w:val="clear" w:color="auto" w:fill="E1DFDD"/>
    </w:rPr>
  </w:style>
  <w:style w:type="paragraph" w:styleId="BodyText2">
    <w:name w:val="Body Text 2"/>
    <w:basedOn w:val="Normal"/>
    <w:link w:val="BodyText2Char"/>
    <w:rsid w:val="0030136C"/>
    <w:pPr>
      <w:spacing w:after="0" w:line="240" w:lineRule="auto"/>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30136C"/>
    <w:rPr>
      <w:rFonts w:ascii="Times New Roman" w:eastAsia="Times New Roman" w:hAnsi="Times New Roman" w:cs="Times New Roman"/>
      <w:sz w:val="24"/>
      <w:szCs w:val="20"/>
      <w:lang w:eastAsia="en-GB"/>
    </w:rPr>
  </w:style>
  <w:style w:type="character" w:customStyle="1" w:styleId="Heading3Char">
    <w:name w:val="Heading 3 Char"/>
    <w:basedOn w:val="DefaultParagraphFont"/>
    <w:link w:val="Heading3"/>
    <w:uiPriority w:val="9"/>
    <w:rsid w:val="00365CF5"/>
    <w:rPr>
      <w:rFonts w:asciiTheme="majorHAnsi" w:eastAsiaTheme="majorEastAsia" w:hAnsiTheme="majorHAnsi" w:cstheme="majorBidi"/>
      <w:color w:val="1F4D78" w:themeColor="accent1" w:themeShade="7F"/>
      <w:sz w:val="24"/>
      <w:szCs w:val="24"/>
    </w:rPr>
  </w:style>
  <w:style w:type="paragraph" w:styleId="Bibliography">
    <w:name w:val="Bibliography"/>
    <w:basedOn w:val="Normal"/>
    <w:next w:val="Normal"/>
    <w:uiPriority w:val="37"/>
    <w:unhideWhenUsed/>
    <w:rsid w:val="001919E9"/>
    <w:pPr>
      <w:tabs>
        <w:tab w:val="left" w:pos="260"/>
        <w:tab w:val="left" w:pos="380"/>
        <w:tab w:val="left" w:pos="500"/>
      </w:tabs>
      <w:spacing w:after="240" w:line="480" w:lineRule="auto"/>
      <w:ind w:left="384" w:hanging="384"/>
    </w:pPr>
  </w:style>
  <w:style w:type="paragraph" w:styleId="FootnoteText">
    <w:name w:val="footnote text"/>
    <w:basedOn w:val="Normal"/>
    <w:link w:val="FootnoteTextChar"/>
    <w:uiPriority w:val="99"/>
    <w:unhideWhenUsed/>
    <w:rsid w:val="00FD43A4"/>
    <w:pPr>
      <w:spacing w:after="0" w:line="240" w:lineRule="auto"/>
    </w:pPr>
    <w:rPr>
      <w:sz w:val="20"/>
      <w:szCs w:val="20"/>
    </w:rPr>
  </w:style>
  <w:style w:type="character" w:customStyle="1" w:styleId="FootnoteTextChar">
    <w:name w:val="Footnote Text Char"/>
    <w:basedOn w:val="DefaultParagraphFont"/>
    <w:link w:val="FootnoteText"/>
    <w:uiPriority w:val="99"/>
    <w:rsid w:val="00FD43A4"/>
    <w:rPr>
      <w:sz w:val="20"/>
      <w:szCs w:val="20"/>
    </w:rPr>
  </w:style>
  <w:style w:type="character" w:styleId="FootnoteReference">
    <w:name w:val="footnote reference"/>
    <w:basedOn w:val="DefaultParagraphFont"/>
    <w:uiPriority w:val="99"/>
    <w:semiHidden/>
    <w:unhideWhenUsed/>
    <w:rsid w:val="00FD4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066">
      <w:bodyDiv w:val="1"/>
      <w:marLeft w:val="0"/>
      <w:marRight w:val="0"/>
      <w:marTop w:val="0"/>
      <w:marBottom w:val="0"/>
      <w:divBdr>
        <w:top w:val="none" w:sz="0" w:space="0" w:color="auto"/>
        <w:left w:val="none" w:sz="0" w:space="0" w:color="auto"/>
        <w:bottom w:val="none" w:sz="0" w:space="0" w:color="auto"/>
        <w:right w:val="none" w:sz="0" w:space="0" w:color="auto"/>
      </w:divBdr>
    </w:div>
    <w:div w:id="93481714">
      <w:bodyDiv w:val="1"/>
      <w:marLeft w:val="0"/>
      <w:marRight w:val="0"/>
      <w:marTop w:val="0"/>
      <w:marBottom w:val="0"/>
      <w:divBdr>
        <w:top w:val="none" w:sz="0" w:space="0" w:color="auto"/>
        <w:left w:val="none" w:sz="0" w:space="0" w:color="auto"/>
        <w:bottom w:val="none" w:sz="0" w:space="0" w:color="auto"/>
        <w:right w:val="none" w:sz="0" w:space="0" w:color="auto"/>
      </w:divBdr>
    </w:div>
    <w:div w:id="102848713">
      <w:bodyDiv w:val="1"/>
      <w:marLeft w:val="0"/>
      <w:marRight w:val="0"/>
      <w:marTop w:val="0"/>
      <w:marBottom w:val="0"/>
      <w:divBdr>
        <w:top w:val="none" w:sz="0" w:space="0" w:color="auto"/>
        <w:left w:val="none" w:sz="0" w:space="0" w:color="auto"/>
        <w:bottom w:val="none" w:sz="0" w:space="0" w:color="auto"/>
        <w:right w:val="none" w:sz="0" w:space="0" w:color="auto"/>
      </w:divBdr>
    </w:div>
    <w:div w:id="139614427">
      <w:bodyDiv w:val="1"/>
      <w:marLeft w:val="0"/>
      <w:marRight w:val="0"/>
      <w:marTop w:val="0"/>
      <w:marBottom w:val="0"/>
      <w:divBdr>
        <w:top w:val="none" w:sz="0" w:space="0" w:color="auto"/>
        <w:left w:val="none" w:sz="0" w:space="0" w:color="auto"/>
        <w:bottom w:val="none" w:sz="0" w:space="0" w:color="auto"/>
        <w:right w:val="none" w:sz="0" w:space="0" w:color="auto"/>
      </w:divBdr>
    </w:div>
    <w:div w:id="153646920">
      <w:bodyDiv w:val="1"/>
      <w:marLeft w:val="0"/>
      <w:marRight w:val="0"/>
      <w:marTop w:val="0"/>
      <w:marBottom w:val="0"/>
      <w:divBdr>
        <w:top w:val="none" w:sz="0" w:space="0" w:color="auto"/>
        <w:left w:val="none" w:sz="0" w:space="0" w:color="auto"/>
        <w:bottom w:val="none" w:sz="0" w:space="0" w:color="auto"/>
        <w:right w:val="none" w:sz="0" w:space="0" w:color="auto"/>
      </w:divBdr>
    </w:div>
    <w:div w:id="178782869">
      <w:bodyDiv w:val="1"/>
      <w:marLeft w:val="0"/>
      <w:marRight w:val="0"/>
      <w:marTop w:val="0"/>
      <w:marBottom w:val="0"/>
      <w:divBdr>
        <w:top w:val="none" w:sz="0" w:space="0" w:color="auto"/>
        <w:left w:val="none" w:sz="0" w:space="0" w:color="auto"/>
        <w:bottom w:val="none" w:sz="0" w:space="0" w:color="auto"/>
        <w:right w:val="none" w:sz="0" w:space="0" w:color="auto"/>
      </w:divBdr>
      <w:divsChild>
        <w:div w:id="693113444">
          <w:marLeft w:val="0"/>
          <w:marRight w:val="0"/>
          <w:marTop w:val="0"/>
          <w:marBottom w:val="0"/>
          <w:divBdr>
            <w:top w:val="none" w:sz="0" w:space="0" w:color="auto"/>
            <w:left w:val="none" w:sz="0" w:space="0" w:color="auto"/>
            <w:bottom w:val="none" w:sz="0" w:space="0" w:color="auto"/>
            <w:right w:val="none" w:sz="0" w:space="0" w:color="auto"/>
          </w:divBdr>
          <w:divsChild>
            <w:div w:id="283197742">
              <w:marLeft w:val="0"/>
              <w:marRight w:val="0"/>
              <w:marTop w:val="0"/>
              <w:marBottom w:val="0"/>
              <w:divBdr>
                <w:top w:val="none" w:sz="0" w:space="0" w:color="auto"/>
                <w:left w:val="none" w:sz="0" w:space="0" w:color="auto"/>
                <w:bottom w:val="none" w:sz="0" w:space="0" w:color="auto"/>
                <w:right w:val="none" w:sz="0" w:space="0" w:color="auto"/>
              </w:divBdr>
              <w:divsChild>
                <w:div w:id="1193155226">
                  <w:marLeft w:val="0"/>
                  <w:marRight w:val="0"/>
                  <w:marTop w:val="0"/>
                  <w:marBottom w:val="0"/>
                  <w:divBdr>
                    <w:top w:val="none" w:sz="0" w:space="0" w:color="auto"/>
                    <w:left w:val="none" w:sz="0" w:space="0" w:color="auto"/>
                    <w:bottom w:val="none" w:sz="0" w:space="0" w:color="auto"/>
                    <w:right w:val="none" w:sz="0" w:space="0" w:color="auto"/>
                  </w:divBdr>
                  <w:divsChild>
                    <w:div w:id="6316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8235">
      <w:bodyDiv w:val="1"/>
      <w:marLeft w:val="0"/>
      <w:marRight w:val="0"/>
      <w:marTop w:val="0"/>
      <w:marBottom w:val="0"/>
      <w:divBdr>
        <w:top w:val="none" w:sz="0" w:space="0" w:color="auto"/>
        <w:left w:val="none" w:sz="0" w:space="0" w:color="auto"/>
        <w:bottom w:val="none" w:sz="0" w:space="0" w:color="auto"/>
        <w:right w:val="none" w:sz="0" w:space="0" w:color="auto"/>
      </w:divBdr>
    </w:div>
    <w:div w:id="482282918">
      <w:bodyDiv w:val="1"/>
      <w:marLeft w:val="0"/>
      <w:marRight w:val="0"/>
      <w:marTop w:val="0"/>
      <w:marBottom w:val="0"/>
      <w:divBdr>
        <w:top w:val="none" w:sz="0" w:space="0" w:color="auto"/>
        <w:left w:val="none" w:sz="0" w:space="0" w:color="auto"/>
        <w:bottom w:val="none" w:sz="0" w:space="0" w:color="auto"/>
        <w:right w:val="none" w:sz="0" w:space="0" w:color="auto"/>
      </w:divBdr>
      <w:divsChild>
        <w:div w:id="714084400">
          <w:marLeft w:val="0"/>
          <w:marRight w:val="0"/>
          <w:marTop w:val="0"/>
          <w:marBottom w:val="0"/>
          <w:divBdr>
            <w:top w:val="none" w:sz="0" w:space="0" w:color="auto"/>
            <w:left w:val="none" w:sz="0" w:space="0" w:color="auto"/>
            <w:bottom w:val="none" w:sz="0" w:space="0" w:color="auto"/>
            <w:right w:val="none" w:sz="0" w:space="0" w:color="auto"/>
          </w:divBdr>
          <w:divsChild>
            <w:div w:id="201404173">
              <w:marLeft w:val="0"/>
              <w:marRight w:val="0"/>
              <w:marTop w:val="0"/>
              <w:marBottom w:val="0"/>
              <w:divBdr>
                <w:top w:val="none" w:sz="0" w:space="0" w:color="auto"/>
                <w:left w:val="none" w:sz="0" w:space="0" w:color="auto"/>
                <w:bottom w:val="none" w:sz="0" w:space="0" w:color="auto"/>
                <w:right w:val="none" w:sz="0" w:space="0" w:color="auto"/>
              </w:divBdr>
              <w:divsChild>
                <w:div w:id="821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83963">
      <w:bodyDiv w:val="1"/>
      <w:marLeft w:val="0"/>
      <w:marRight w:val="0"/>
      <w:marTop w:val="0"/>
      <w:marBottom w:val="0"/>
      <w:divBdr>
        <w:top w:val="none" w:sz="0" w:space="0" w:color="auto"/>
        <w:left w:val="none" w:sz="0" w:space="0" w:color="auto"/>
        <w:bottom w:val="none" w:sz="0" w:space="0" w:color="auto"/>
        <w:right w:val="none" w:sz="0" w:space="0" w:color="auto"/>
      </w:divBdr>
    </w:div>
    <w:div w:id="578446614">
      <w:bodyDiv w:val="1"/>
      <w:marLeft w:val="0"/>
      <w:marRight w:val="0"/>
      <w:marTop w:val="0"/>
      <w:marBottom w:val="0"/>
      <w:divBdr>
        <w:top w:val="none" w:sz="0" w:space="0" w:color="auto"/>
        <w:left w:val="none" w:sz="0" w:space="0" w:color="auto"/>
        <w:bottom w:val="none" w:sz="0" w:space="0" w:color="auto"/>
        <w:right w:val="none" w:sz="0" w:space="0" w:color="auto"/>
      </w:divBdr>
      <w:divsChild>
        <w:div w:id="1593010378">
          <w:marLeft w:val="0"/>
          <w:marRight w:val="0"/>
          <w:marTop w:val="0"/>
          <w:marBottom w:val="0"/>
          <w:divBdr>
            <w:top w:val="none" w:sz="0" w:space="0" w:color="auto"/>
            <w:left w:val="none" w:sz="0" w:space="0" w:color="auto"/>
            <w:bottom w:val="none" w:sz="0" w:space="0" w:color="auto"/>
            <w:right w:val="none" w:sz="0" w:space="0" w:color="auto"/>
          </w:divBdr>
          <w:divsChild>
            <w:div w:id="562299526">
              <w:marLeft w:val="0"/>
              <w:marRight w:val="0"/>
              <w:marTop w:val="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0"/>
                  <w:divBdr>
                    <w:top w:val="none" w:sz="0" w:space="0" w:color="auto"/>
                    <w:left w:val="none" w:sz="0" w:space="0" w:color="auto"/>
                    <w:bottom w:val="none" w:sz="0" w:space="0" w:color="auto"/>
                    <w:right w:val="none" w:sz="0" w:space="0" w:color="auto"/>
                  </w:divBdr>
                  <w:divsChild>
                    <w:div w:id="20177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29156">
      <w:bodyDiv w:val="1"/>
      <w:marLeft w:val="0"/>
      <w:marRight w:val="0"/>
      <w:marTop w:val="0"/>
      <w:marBottom w:val="0"/>
      <w:divBdr>
        <w:top w:val="none" w:sz="0" w:space="0" w:color="auto"/>
        <w:left w:val="none" w:sz="0" w:space="0" w:color="auto"/>
        <w:bottom w:val="none" w:sz="0" w:space="0" w:color="auto"/>
        <w:right w:val="none" w:sz="0" w:space="0" w:color="auto"/>
      </w:divBdr>
      <w:divsChild>
        <w:div w:id="1914922920">
          <w:marLeft w:val="0"/>
          <w:marRight w:val="0"/>
          <w:marTop w:val="0"/>
          <w:marBottom w:val="0"/>
          <w:divBdr>
            <w:top w:val="none" w:sz="0" w:space="0" w:color="auto"/>
            <w:left w:val="none" w:sz="0" w:space="0" w:color="auto"/>
            <w:bottom w:val="none" w:sz="0" w:space="0" w:color="auto"/>
            <w:right w:val="none" w:sz="0" w:space="0" w:color="auto"/>
          </w:divBdr>
          <w:divsChild>
            <w:div w:id="1155029448">
              <w:marLeft w:val="0"/>
              <w:marRight w:val="0"/>
              <w:marTop w:val="0"/>
              <w:marBottom w:val="0"/>
              <w:divBdr>
                <w:top w:val="none" w:sz="0" w:space="0" w:color="auto"/>
                <w:left w:val="none" w:sz="0" w:space="0" w:color="auto"/>
                <w:bottom w:val="none" w:sz="0" w:space="0" w:color="auto"/>
                <w:right w:val="none" w:sz="0" w:space="0" w:color="auto"/>
              </w:divBdr>
              <w:divsChild>
                <w:div w:id="1498689434">
                  <w:marLeft w:val="0"/>
                  <w:marRight w:val="0"/>
                  <w:marTop w:val="0"/>
                  <w:marBottom w:val="0"/>
                  <w:divBdr>
                    <w:top w:val="none" w:sz="0" w:space="0" w:color="auto"/>
                    <w:left w:val="none" w:sz="0" w:space="0" w:color="auto"/>
                    <w:bottom w:val="none" w:sz="0" w:space="0" w:color="auto"/>
                    <w:right w:val="none" w:sz="0" w:space="0" w:color="auto"/>
                  </w:divBdr>
                  <w:divsChild>
                    <w:div w:id="3489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439240">
      <w:bodyDiv w:val="1"/>
      <w:marLeft w:val="0"/>
      <w:marRight w:val="0"/>
      <w:marTop w:val="0"/>
      <w:marBottom w:val="0"/>
      <w:divBdr>
        <w:top w:val="none" w:sz="0" w:space="0" w:color="auto"/>
        <w:left w:val="none" w:sz="0" w:space="0" w:color="auto"/>
        <w:bottom w:val="none" w:sz="0" w:space="0" w:color="auto"/>
        <w:right w:val="none" w:sz="0" w:space="0" w:color="auto"/>
      </w:divBdr>
    </w:div>
    <w:div w:id="1217164242">
      <w:bodyDiv w:val="1"/>
      <w:marLeft w:val="0"/>
      <w:marRight w:val="0"/>
      <w:marTop w:val="0"/>
      <w:marBottom w:val="0"/>
      <w:divBdr>
        <w:top w:val="none" w:sz="0" w:space="0" w:color="auto"/>
        <w:left w:val="none" w:sz="0" w:space="0" w:color="auto"/>
        <w:bottom w:val="none" w:sz="0" w:space="0" w:color="auto"/>
        <w:right w:val="none" w:sz="0" w:space="0" w:color="auto"/>
      </w:divBdr>
    </w:div>
    <w:div w:id="1394279487">
      <w:bodyDiv w:val="1"/>
      <w:marLeft w:val="0"/>
      <w:marRight w:val="0"/>
      <w:marTop w:val="0"/>
      <w:marBottom w:val="0"/>
      <w:divBdr>
        <w:top w:val="none" w:sz="0" w:space="0" w:color="auto"/>
        <w:left w:val="none" w:sz="0" w:space="0" w:color="auto"/>
        <w:bottom w:val="none" w:sz="0" w:space="0" w:color="auto"/>
        <w:right w:val="none" w:sz="0" w:space="0" w:color="auto"/>
      </w:divBdr>
      <w:divsChild>
        <w:div w:id="1933272760">
          <w:marLeft w:val="0"/>
          <w:marRight w:val="0"/>
          <w:marTop w:val="0"/>
          <w:marBottom w:val="0"/>
          <w:divBdr>
            <w:top w:val="none" w:sz="0" w:space="0" w:color="auto"/>
            <w:left w:val="none" w:sz="0" w:space="0" w:color="auto"/>
            <w:bottom w:val="none" w:sz="0" w:space="0" w:color="auto"/>
            <w:right w:val="none" w:sz="0" w:space="0" w:color="auto"/>
          </w:divBdr>
          <w:divsChild>
            <w:div w:id="1799180630">
              <w:marLeft w:val="0"/>
              <w:marRight w:val="0"/>
              <w:marTop w:val="0"/>
              <w:marBottom w:val="0"/>
              <w:divBdr>
                <w:top w:val="none" w:sz="0" w:space="0" w:color="auto"/>
                <w:left w:val="none" w:sz="0" w:space="0" w:color="auto"/>
                <w:bottom w:val="none" w:sz="0" w:space="0" w:color="auto"/>
                <w:right w:val="none" w:sz="0" w:space="0" w:color="auto"/>
              </w:divBdr>
              <w:divsChild>
                <w:div w:id="1759328559">
                  <w:marLeft w:val="0"/>
                  <w:marRight w:val="0"/>
                  <w:marTop w:val="0"/>
                  <w:marBottom w:val="0"/>
                  <w:divBdr>
                    <w:top w:val="none" w:sz="0" w:space="0" w:color="auto"/>
                    <w:left w:val="none" w:sz="0" w:space="0" w:color="auto"/>
                    <w:bottom w:val="none" w:sz="0" w:space="0" w:color="auto"/>
                    <w:right w:val="none" w:sz="0" w:space="0" w:color="auto"/>
                  </w:divBdr>
                  <w:divsChild>
                    <w:div w:id="6767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20430">
      <w:bodyDiv w:val="1"/>
      <w:marLeft w:val="0"/>
      <w:marRight w:val="0"/>
      <w:marTop w:val="0"/>
      <w:marBottom w:val="0"/>
      <w:divBdr>
        <w:top w:val="none" w:sz="0" w:space="0" w:color="auto"/>
        <w:left w:val="none" w:sz="0" w:space="0" w:color="auto"/>
        <w:bottom w:val="none" w:sz="0" w:space="0" w:color="auto"/>
        <w:right w:val="none" w:sz="0" w:space="0" w:color="auto"/>
      </w:divBdr>
    </w:div>
    <w:div w:id="1457019674">
      <w:bodyDiv w:val="1"/>
      <w:marLeft w:val="0"/>
      <w:marRight w:val="0"/>
      <w:marTop w:val="0"/>
      <w:marBottom w:val="0"/>
      <w:divBdr>
        <w:top w:val="none" w:sz="0" w:space="0" w:color="auto"/>
        <w:left w:val="none" w:sz="0" w:space="0" w:color="auto"/>
        <w:bottom w:val="none" w:sz="0" w:space="0" w:color="auto"/>
        <w:right w:val="none" w:sz="0" w:space="0" w:color="auto"/>
      </w:divBdr>
    </w:div>
    <w:div w:id="1515224211">
      <w:bodyDiv w:val="1"/>
      <w:marLeft w:val="0"/>
      <w:marRight w:val="0"/>
      <w:marTop w:val="0"/>
      <w:marBottom w:val="0"/>
      <w:divBdr>
        <w:top w:val="none" w:sz="0" w:space="0" w:color="auto"/>
        <w:left w:val="none" w:sz="0" w:space="0" w:color="auto"/>
        <w:bottom w:val="none" w:sz="0" w:space="0" w:color="auto"/>
        <w:right w:val="none" w:sz="0" w:space="0" w:color="auto"/>
      </w:divBdr>
    </w:div>
    <w:div w:id="1595170532">
      <w:bodyDiv w:val="1"/>
      <w:marLeft w:val="0"/>
      <w:marRight w:val="0"/>
      <w:marTop w:val="0"/>
      <w:marBottom w:val="0"/>
      <w:divBdr>
        <w:top w:val="none" w:sz="0" w:space="0" w:color="auto"/>
        <w:left w:val="none" w:sz="0" w:space="0" w:color="auto"/>
        <w:bottom w:val="none" w:sz="0" w:space="0" w:color="auto"/>
        <w:right w:val="none" w:sz="0" w:space="0" w:color="auto"/>
      </w:divBdr>
    </w:div>
    <w:div w:id="1977447521">
      <w:bodyDiv w:val="1"/>
      <w:marLeft w:val="0"/>
      <w:marRight w:val="0"/>
      <w:marTop w:val="0"/>
      <w:marBottom w:val="0"/>
      <w:divBdr>
        <w:top w:val="none" w:sz="0" w:space="0" w:color="auto"/>
        <w:left w:val="none" w:sz="0" w:space="0" w:color="auto"/>
        <w:bottom w:val="none" w:sz="0" w:space="0" w:color="auto"/>
        <w:right w:val="none" w:sz="0" w:space="0" w:color="auto"/>
      </w:divBdr>
    </w:div>
    <w:div w:id="2020766495">
      <w:bodyDiv w:val="1"/>
      <w:marLeft w:val="0"/>
      <w:marRight w:val="0"/>
      <w:marTop w:val="0"/>
      <w:marBottom w:val="0"/>
      <w:divBdr>
        <w:top w:val="none" w:sz="0" w:space="0" w:color="auto"/>
        <w:left w:val="none" w:sz="0" w:space="0" w:color="auto"/>
        <w:bottom w:val="none" w:sz="0" w:space="0" w:color="auto"/>
        <w:right w:val="none" w:sz="0" w:space="0" w:color="auto"/>
      </w:divBdr>
      <w:divsChild>
        <w:div w:id="154416682">
          <w:marLeft w:val="0"/>
          <w:marRight w:val="0"/>
          <w:marTop w:val="0"/>
          <w:marBottom w:val="0"/>
          <w:divBdr>
            <w:top w:val="none" w:sz="0" w:space="0" w:color="auto"/>
            <w:left w:val="none" w:sz="0" w:space="0" w:color="auto"/>
            <w:bottom w:val="none" w:sz="0" w:space="0" w:color="auto"/>
            <w:right w:val="none" w:sz="0" w:space="0" w:color="auto"/>
          </w:divBdr>
        </w:div>
      </w:divsChild>
    </w:div>
    <w:div w:id="212206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ientist.com/news-opinion/phages-carry-antibiotic-resistance-genes-32389" TargetMode="External"/><Relationship Id="rId13" Type="http://schemas.openxmlformats.org/officeDocument/2006/relationships/hyperlink" Target="https://pure.qub.ac.uk/en/persons/brendan-gilm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re.qub.ac.uk/en/persons/timofey-skvorts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s40168-020-0086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38/ismej.2016.90" TargetMode="External"/><Relationship Id="rId4" Type="http://schemas.openxmlformats.org/officeDocument/2006/relationships/settings" Target="settings.xml"/><Relationship Id="rId9" Type="http://schemas.openxmlformats.org/officeDocument/2006/relationships/hyperlink" Target="https://doi.org/10.1371/journal.ppat.10042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45315-8AF4-4912-BB0A-9056CF37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2911</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Peter Millar</cp:lastModifiedBy>
  <cp:revision>2</cp:revision>
  <dcterms:created xsi:type="dcterms:W3CDTF">2020-11-06T17:05:00Z</dcterms:created>
  <dcterms:modified xsi:type="dcterms:W3CDTF">2020-11-06T17:05:00Z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zotero-version="5.0.92"&gt;&lt;session id="0o7kKKGx"/&gt;&lt;style id="http://www.zotero.org/styles/american-society-for-microbiology"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