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E8B0" w14:textId="62E006F6" w:rsidR="002E0374" w:rsidRDefault="007F3CD9" w:rsidP="007F3CD9">
      <w:pPr>
        <w:pStyle w:val="Heading1"/>
      </w:pPr>
      <w:r>
        <w:t>PGR Studentship Information Template</w:t>
      </w:r>
      <w:r w:rsidR="00695F66">
        <w:t xml:space="preserve"> 20</w:t>
      </w:r>
      <w:r w:rsidR="00612977">
        <w:t>2</w:t>
      </w:r>
      <w:r w:rsidR="001652CF">
        <w:t>1</w:t>
      </w:r>
      <w:r w:rsidR="00695F66">
        <w:t xml:space="preserve"> entry</w:t>
      </w:r>
    </w:p>
    <w:p w14:paraId="239B6C33" w14:textId="77777777" w:rsidR="007F3CD9" w:rsidRDefault="007F3CD9"/>
    <w:p w14:paraId="1C92A637" w14:textId="77777777" w:rsidR="00695F66" w:rsidRDefault="00695F66" w:rsidP="00695F66">
      <w:pPr>
        <w:pStyle w:val="ListParagraph"/>
        <w:numPr>
          <w:ilvl w:val="0"/>
          <w:numId w:val="1"/>
        </w:numPr>
      </w:pPr>
      <w:r>
        <w:t xml:space="preserve">Please complete the template with as much information as possible. </w:t>
      </w:r>
    </w:p>
    <w:p w14:paraId="40FF3C9C" w14:textId="77777777" w:rsidR="001976E1" w:rsidRDefault="00695F66" w:rsidP="00695F66">
      <w:pPr>
        <w:pStyle w:val="ListParagraph"/>
        <w:numPr>
          <w:ilvl w:val="0"/>
          <w:numId w:val="1"/>
        </w:numPr>
      </w:pPr>
      <w:r>
        <w:t>*fields are essential.</w:t>
      </w:r>
    </w:p>
    <w:p w14:paraId="1AC50218" w14:textId="5C787949"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12EE08E5" w14:textId="77777777" w:rsidR="001976E1" w:rsidRDefault="001976E1"/>
    <w:tbl>
      <w:tblPr>
        <w:tblStyle w:val="TableGrid"/>
        <w:tblW w:w="9311" w:type="dxa"/>
        <w:tblLook w:val="04A0" w:firstRow="1" w:lastRow="0" w:firstColumn="1" w:lastColumn="0" w:noHBand="0" w:noVBand="1"/>
      </w:tblPr>
      <w:tblGrid>
        <w:gridCol w:w="1522"/>
        <w:gridCol w:w="7789"/>
      </w:tblGrid>
      <w:tr w:rsidR="007F3CD9" w14:paraId="139BB1E1" w14:textId="77777777" w:rsidTr="001652CF">
        <w:trPr>
          <w:trHeight w:val="470"/>
        </w:trPr>
        <w:tc>
          <w:tcPr>
            <w:tcW w:w="1838" w:type="dxa"/>
            <w:shd w:val="clear" w:color="auto" w:fill="DEEAF6" w:themeFill="accent1" w:themeFillTint="33"/>
          </w:tcPr>
          <w:p w14:paraId="50D7F92E" w14:textId="77777777" w:rsidR="007F3CD9" w:rsidRPr="007F3CD9" w:rsidRDefault="00695F66">
            <w:pPr>
              <w:rPr>
                <w:b/>
              </w:rPr>
            </w:pPr>
            <w:r>
              <w:rPr>
                <w:b/>
              </w:rPr>
              <w:t>*</w:t>
            </w:r>
            <w:r w:rsidR="007F3CD9" w:rsidRPr="007F3CD9">
              <w:rPr>
                <w:b/>
              </w:rPr>
              <w:t>Title of studentship</w:t>
            </w:r>
          </w:p>
        </w:tc>
        <w:tc>
          <w:tcPr>
            <w:tcW w:w="7473" w:type="dxa"/>
          </w:tcPr>
          <w:p w14:paraId="087F3833" w14:textId="4BAE3C7E" w:rsidR="001652CF" w:rsidRDefault="001652CF">
            <w:r w:rsidRPr="00F70B7B">
              <w:rPr>
                <w:rFonts w:cstheme="minorHAnsi"/>
              </w:rPr>
              <w:t>Development and evaluation of microneedle arrays for ocular drug delivery</w:t>
            </w:r>
            <w:r>
              <w:t xml:space="preserve"> </w:t>
            </w:r>
          </w:p>
        </w:tc>
      </w:tr>
      <w:tr w:rsidR="007F3CD9" w14:paraId="5693CC34" w14:textId="77777777" w:rsidTr="001652CF">
        <w:trPr>
          <w:trHeight w:val="444"/>
        </w:trPr>
        <w:tc>
          <w:tcPr>
            <w:tcW w:w="1838" w:type="dxa"/>
            <w:shd w:val="clear" w:color="auto" w:fill="DEEAF6" w:themeFill="accent1" w:themeFillTint="33"/>
          </w:tcPr>
          <w:p w14:paraId="5703C4CD" w14:textId="77777777" w:rsidR="007F3CD9" w:rsidRPr="007F3CD9" w:rsidRDefault="007F3CD9">
            <w:pPr>
              <w:rPr>
                <w:b/>
              </w:rPr>
            </w:pPr>
            <w:r w:rsidRPr="007F3CD9">
              <w:rPr>
                <w:b/>
              </w:rPr>
              <w:t>Value</w:t>
            </w:r>
            <w:r w:rsidR="000F380D">
              <w:rPr>
                <w:b/>
              </w:rPr>
              <w:t xml:space="preserve"> / what is covered? </w:t>
            </w:r>
          </w:p>
        </w:tc>
        <w:tc>
          <w:tcPr>
            <w:tcW w:w="7473" w:type="dxa"/>
          </w:tcPr>
          <w:p w14:paraId="57AEF19A" w14:textId="77777777" w:rsidR="00CE2BB1" w:rsidRPr="001D5159" w:rsidRDefault="00CE2BB1" w:rsidP="00CE2BB1">
            <w:pPr>
              <w:rPr>
                <w:rFonts w:ascii="Calibri" w:hAnsi="Calibri"/>
              </w:rPr>
            </w:pPr>
            <w:r w:rsidRPr="001D5159">
              <w:rPr>
                <w:rFonts w:ascii="Calibri" w:hAnsi="Calibri"/>
              </w:rPr>
              <w:t>Fully funded</w:t>
            </w:r>
          </w:p>
          <w:p w14:paraId="6D777709" w14:textId="77777777" w:rsidR="00CE2BB1" w:rsidRPr="001D5159" w:rsidRDefault="00CE2BB1" w:rsidP="00CE2BB1">
            <w:pPr>
              <w:rPr>
                <w:rFonts w:ascii="Calibri" w:hAnsi="Calibri"/>
              </w:rPr>
            </w:pPr>
          </w:p>
          <w:p w14:paraId="04946EBE" w14:textId="5B7C5B7F" w:rsidR="007F3CD9" w:rsidRDefault="00CE2BB1" w:rsidP="00CE2BB1">
            <w:r w:rsidRPr="001D5159">
              <w:rPr>
                <w:rFonts w:ascii="Calibri" w:hAnsi="Calibri"/>
              </w:rPr>
              <w:t>100% of UK/EU tuition fees paid and an annual stipend for UK residents only (living expenses)</w:t>
            </w:r>
          </w:p>
          <w:p w14:paraId="4D692A97" w14:textId="77777777" w:rsidR="007C3A10" w:rsidRDefault="007C3A10" w:rsidP="007C3A10"/>
        </w:tc>
      </w:tr>
      <w:tr w:rsidR="007F3CD9" w14:paraId="7BE5D50C" w14:textId="77777777" w:rsidTr="001652CF">
        <w:trPr>
          <w:trHeight w:val="470"/>
        </w:trPr>
        <w:tc>
          <w:tcPr>
            <w:tcW w:w="1838" w:type="dxa"/>
            <w:shd w:val="clear" w:color="auto" w:fill="DEEAF6" w:themeFill="accent1" w:themeFillTint="33"/>
          </w:tcPr>
          <w:p w14:paraId="7F0DCF90" w14:textId="77777777" w:rsidR="007F3CD9" w:rsidRPr="007F3CD9" w:rsidRDefault="007F3CD9">
            <w:pPr>
              <w:rPr>
                <w:b/>
              </w:rPr>
            </w:pPr>
            <w:r w:rsidRPr="007F3CD9">
              <w:rPr>
                <w:b/>
              </w:rPr>
              <w:t>Awarding body</w:t>
            </w:r>
          </w:p>
        </w:tc>
        <w:tc>
          <w:tcPr>
            <w:tcW w:w="7473" w:type="dxa"/>
          </w:tcPr>
          <w:p w14:paraId="4FE0BE00" w14:textId="1A12E8F3" w:rsidR="007F3CD9" w:rsidRDefault="00CE2BB1">
            <w:r w:rsidRPr="00783BF5">
              <w:rPr>
                <w:rFonts w:ascii="Calibri" w:hAnsi="Calibri" w:cs="Arial"/>
                <w:b/>
                <w:bCs/>
              </w:rPr>
              <w:t>DfE studentship</w:t>
            </w:r>
            <w:r>
              <w:rPr>
                <w:rFonts w:ascii="Calibri" w:hAnsi="Calibri" w:cs="Arial"/>
              </w:rPr>
              <w:t xml:space="preserve"> in collaboration with our partner </w:t>
            </w:r>
            <w:r w:rsidRPr="00783BF5">
              <w:rPr>
                <w:rFonts w:ascii="Calibri" w:hAnsi="Calibri" w:cs="Arial"/>
                <w:b/>
                <w:bCs/>
              </w:rPr>
              <w:t>Pharma company</w:t>
            </w:r>
            <w:r>
              <w:rPr>
                <w:rFonts w:ascii="Calibri" w:hAnsi="Calibri" w:cs="Arial"/>
              </w:rPr>
              <w:t xml:space="preserve"> </w:t>
            </w:r>
          </w:p>
        </w:tc>
      </w:tr>
      <w:tr w:rsidR="007F3CD9" w14:paraId="0FD83558" w14:textId="77777777" w:rsidTr="001652CF">
        <w:trPr>
          <w:trHeight w:val="444"/>
        </w:trPr>
        <w:tc>
          <w:tcPr>
            <w:tcW w:w="1838" w:type="dxa"/>
            <w:shd w:val="clear" w:color="auto" w:fill="DEEAF6" w:themeFill="accent1" w:themeFillTint="33"/>
          </w:tcPr>
          <w:p w14:paraId="3B2B1F67" w14:textId="77777777" w:rsidR="007F3CD9" w:rsidRPr="007F3CD9" w:rsidRDefault="007F3CD9">
            <w:pPr>
              <w:rPr>
                <w:b/>
              </w:rPr>
            </w:pPr>
            <w:r w:rsidRPr="007F3CD9">
              <w:rPr>
                <w:b/>
              </w:rPr>
              <w:t>Number of studentships</w:t>
            </w:r>
          </w:p>
        </w:tc>
        <w:tc>
          <w:tcPr>
            <w:tcW w:w="7473" w:type="dxa"/>
          </w:tcPr>
          <w:p w14:paraId="00607795" w14:textId="627F776F" w:rsidR="007F3CD9" w:rsidRDefault="00CE2BB1">
            <w:r>
              <w:t>1</w:t>
            </w:r>
          </w:p>
        </w:tc>
      </w:tr>
      <w:tr w:rsidR="007F3CD9" w14:paraId="7D945C08" w14:textId="77777777" w:rsidTr="001652CF">
        <w:trPr>
          <w:trHeight w:val="1412"/>
        </w:trPr>
        <w:tc>
          <w:tcPr>
            <w:tcW w:w="1838" w:type="dxa"/>
            <w:shd w:val="clear" w:color="auto" w:fill="DEEAF6" w:themeFill="accent1" w:themeFillTint="33"/>
          </w:tcPr>
          <w:p w14:paraId="74833CDF"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473" w:type="dxa"/>
          </w:tcPr>
          <w:p w14:paraId="4F3774FC" w14:textId="79F86BF3" w:rsidR="00CE388A" w:rsidRDefault="001652CF"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Minimally invasive microneedles (MNs) offer unique opportunities to address current challenges in the effective management of ocular disorders,</w:t>
            </w:r>
            <w:r w:rsidRPr="001652CF">
              <w:rPr>
                <w:rFonts w:ascii="Helvetica" w:hAnsi="Helvetica"/>
                <w:sz w:val="20"/>
                <w:szCs w:val="20"/>
              </w:rPr>
              <w:t xml:space="preserve"> such as age-related macular degeneration (AMD) and diabetic retinopathy (DR) [1]. There is a clear unmet clinical need for efficient, safe, minimally/non-invasive and patient-friendly strategies for the treatment of prevalent diseases of the posterior segment of the eye. We have previously demonstrated how MN technology can enable localised drug delivery to target posterior segment tissues using both </w:t>
            </w:r>
            <w:proofErr w:type="gramStart"/>
            <w:r w:rsidRPr="001652CF">
              <w:rPr>
                <w:rFonts w:ascii="Helvetica" w:hAnsi="Helvetica"/>
                <w:sz w:val="20"/>
                <w:szCs w:val="20"/>
              </w:rPr>
              <w:t>polymer</w:t>
            </w:r>
            <w:proofErr w:type="gramEnd"/>
            <w:r w:rsidRPr="001652CF">
              <w:rPr>
                <w:rFonts w:ascii="Helvetica" w:hAnsi="Helvetica"/>
                <w:sz w:val="20"/>
                <w:szCs w:val="20"/>
              </w:rPr>
              <w:t xml:space="preserve"> based soluble MNs [2] and hollow MNs [3]. </w:t>
            </w:r>
            <w:r w:rsidR="00CE388A" w:rsidRPr="00CE388A">
              <w:rPr>
                <w:rFonts w:ascii="Helvetica" w:hAnsi="Helvetica"/>
                <w:sz w:val="20"/>
                <w:szCs w:val="20"/>
              </w:rPr>
              <w:t>For example, delivering small molecules and biologics within the scleral tissue offers localised and minimally invasive alternative to highly invasive intravitreal injections that are given on a monthly/bi-monthly basis for the rest of the patient’s life.</w:t>
            </w:r>
            <w:r w:rsidR="00CE388A">
              <w:rPr>
                <w:rFonts w:ascii="Helvetica" w:hAnsi="Helvetica"/>
                <w:sz w:val="20"/>
                <w:szCs w:val="20"/>
              </w:rPr>
              <w:t xml:space="preserve"> </w:t>
            </w:r>
          </w:p>
          <w:p w14:paraId="3095D225" w14:textId="77777777" w:rsid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p>
          <w:p w14:paraId="32ADD7C4" w14:textId="5D8AC3B9" w:rsid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 xml:space="preserve">In this project, the PhD student will take a systematic approach to address </w:t>
            </w:r>
            <w:r>
              <w:rPr>
                <w:rFonts w:ascii="Helvetica" w:hAnsi="Helvetica"/>
                <w:sz w:val="20"/>
                <w:szCs w:val="20"/>
              </w:rPr>
              <w:t>some of the</w:t>
            </w:r>
            <w:r w:rsidRPr="00CE388A">
              <w:rPr>
                <w:rFonts w:ascii="Helvetica" w:hAnsi="Helvetica"/>
                <w:sz w:val="20"/>
                <w:szCs w:val="20"/>
              </w:rPr>
              <w:t xml:space="preserve"> fundamental questions</w:t>
            </w:r>
            <w:r>
              <w:rPr>
                <w:rFonts w:ascii="Helvetica" w:hAnsi="Helvetica"/>
                <w:sz w:val="20"/>
                <w:szCs w:val="20"/>
              </w:rPr>
              <w:t xml:space="preserve"> in ocular delivery using MNs</w:t>
            </w:r>
            <w:r w:rsidRPr="00CE388A">
              <w:rPr>
                <w:rFonts w:ascii="Helvetica" w:hAnsi="Helvetica"/>
                <w:sz w:val="20"/>
                <w:szCs w:val="20"/>
              </w:rPr>
              <w:t xml:space="preserve">. This will include comprehensive literature review; development of in vitro models to evaluate the mechanical properties of </w:t>
            </w:r>
            <w:r>
              <w:rPr>
                <w:rFonts w:ascii="Helvetica" w:hAnsi="Helvetica"/>
                <w:sz w:val="20"/>
                <w:szCs w:val="20"/>
              </w:rPr>
              <w:t xml:space="preserve">MNs and tissues; </w:t>
            </w:r>
            <w:r w:rsidRPr="00CE388A">
              <w:rPr>
                <w:rFonts w:ascii="Helvetica" w:hAnsi="Helvetica"/>
                <w:sz w:val="20"/>
                <w:szCs w:val="20"/>
              </w:rPr>
              <w:t>combination of computer modelling and in vitro evaluations of MNs to enable selection of optimum MN</w:t>
            </w:r>
            <w:r>
              <w:rPr>
                <w:rFonts w:ascii="Helvetica" w:hAnsi="Helvetica"/>
                <w:sz w:val="20"/>
                <w:szCs w:val="20"/>
              </w:rPr>
              <w:t>-based</w:t>
            </w:r>
            <w:r w:rsidRPr="00CE388A">
              <w:rPr>
                <w:rFonts w:ascii="Helvetica" w:hAnsi="Helvetica"/>
                <w:sz w:val="20"/>
                <w:szCs w:val="20"/>
              </w:rPr>
              <w:t xml:space="preserve"> </w:t>
            </w:r>
            <w:r>
              <w:rPr>
                <w:rFonts w:ascii="Helvetica" w:hAnsi="Helvetica"/>
                <w:sz w:val="20"/>
                <w:szCs w:val="20"/>
              </w:rPr>
              <w:t xml:space="preserve">formulation; and analytical method development and validation for drug analysis. The project is in collaboration with a leading Pharma company, so the student will have an opportunity for secondments during the 3-yr period to gain additional knowledge and industrial experience. </w:t>
            </w:r>
          </w:p>
          <w:p w14:paraId="2E4BD7D8" w14:textId="523B4C79" w:rsidR="00CE388A" w:rsidRP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 xml:space="preserve"> </w:t>
            </w:r>
          </w:p>
          <w:p w14:paraId="6C72B573" w14:textId="64BF6D75" w:rsidR="00CE388A" w:rsidRP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u w:val="single"/>
              </w:rPr>
            </w:pPr>
            <w:r w:rsidRPr="00CE388A">
              <w:rPr>
                <w:rFonts w:ascii="Helvetica" w:hAnsi="Helvetica"/>
                <w:sz w:val="20"/>
                <w:szCs w:val="20"/>
                <w:u w:val="single"/>
              </w:rPr>
              <w:t>References:</w:t>
            </w:r>
          </w:p>
          <w:p w14:paraId="07A7F20B" w14:textId="77777777" w:rsidR="00CE388A" w:rsidRP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 xml:space="preserve">1. Thakur </w:t>
            </w:r>
            <w:r w:rsidRPr="00CE388A">
              <w:rPr>
                <w:rFonts w:ascii="Helvetica" w:hAnsi="Helvetica"/>
                <w:i/>
                <w:iCs/>
                <w:sz w:val="20"/>
                <w:szCs w:val="20"/>
              </w:rPr>
              <w:t xml:space="preserve">et al. </w:t>
            </w:r>
            <w:r w:rsidRPr="00CE388A">
              <w:rPr>
                <w:rFonts w:ascii="Helvetica" w:hAnsi="Helvetica"/>
                <w:sz w:val="20"/>
                <w:szCs w:val="20"/>
              </w:rPr>
              <w:t xml:space="preserve">(2017) Minimally invasive microneedles for ocular drug delivery. </w:t>
            </w:r>
            <w:r w:rsidRPr="00CE388A">
              <w:rPr>
                <w:rFonts w:ascii="Helvetica" w:hAnsi="Helvetica"/>
                <w:i/>
                <w:iCs/>
                <w:sz w:val="20"/>
                <w:szCs w:val="20"/>
              </w:rPr>
              <w:t>Expert Opinion on Drug Del</w:t>
            </w:r>
            <w:r w:rsidRPr="00CE388A">
              <w:rPr>
                <w:rFonts w:ascii="Helvetica" w:hAnsi="Helvetica"/>
                <w:sz w:val="20"/>
                <w:szCs w:val="20"/>
              </w:rPr>
              <w:t xml:space="preserve">ivery, 14(4), 525–537. </w:t>
            </w:r>
          </w:p>
          <w:p w14:paraId="50FD4DD0" w14:textId="77777777" w:rsidR="00CE388A" w:rsidRP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 xml:space="preserve">2. Thakur </w:t>
            </w:r>
            <w:r w:rsidRPr="00CE388A">
              <w:rPr>
                <w:rFonts w:ascii="Helvetica" w:hAnsi="Helvetica"/>
                <w:i/>
                <w:iCs/>
                <w:sz w:val="20"/>
                <w:szCs w:val="20"/>
              </w:rPr>
              <w:t xml:space="preserve">et al. </w:t>
            </w:r>
            <w:r w:rsidRPr="00CE388A">
              <w:rPr>
                <w:rFonts w:ascii="Helvetica" w:hAnsi="Helvetica"/>
                <w:sz w:val="20"/>
                <w:szCs w:val="20"/>
              </w:rPr>
              <w:t xml:space="preserve">(2016) Rapidly dissolving polymeric microneedles for minimally invasive intraocular drug delivery. </w:t>
            </w:r>
            <w:r w:rsidRPr="00CE388A">
              <w:rPr>
                <w:rFonts w:ascii="Helvetica" w:hAnsi="Helvetica"/>
                <w:i/>
                <w:iCs/>
                <w:sz w:val="20"/>
                <w:szCs w:val="20"/>
              </w:rPr>
              <w:t>Drug Delivery and Translational Research</w:t>
            </w:r>
            <w:r w:rsidRPr="00CE388A">
              <w:rPr>
                <w:rFonts w:ascii="Helvetica" w:hAnsi="Helvetica"/>
                <w:sz w:val="20"/>
                <w:szCs w:val="20"/>
              </w:rPr>
              <w:t xml:space="preserve">, 6(6), 1–18. </w:t>
            </w:r>
          </w:p>
          <w:p w14:paraId="209EF8C9" w14:textId="77777777" w:rsidR="00CE388A" w:rsidRPr="00CE388A" w:rsidRDefault="00CE388A" w:rsidP="00CE388A">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r w:rsidRPr="00CE388A">
              <w:rPr>
                <w:rFonts w:ascii="Helvetica" w:hAnsi="Helvetica"/>
                <w:sz w:val="20"/>
                <w:szCs w:val="20"/>
              </w:rPr>
              <w:t xml:space="preserve">3. Thakur </w:t>
            </w:r>
            <w:r w:rsidRPr="00CE388A">
              <w:rPr>
                <w:rFonts w:ascii="Helvetica" w:hAnsi="Helvetica"/>
                <w:i/>
                <w:iCs/>
                <w:sz w:val="20"/>
                <w:szCs w:val="20"/>
              </w:rPr>
              <w:t>et al</w:t>
            </w:r>
            <w:r w:rsidRPr="00CE388A">
              <w:rPr>
                <w:rFonts w:ascii="Helvetica" w:hAnsi="Helvetica"/>
                <w:sz w:val="20"/>
                <w:szCs w:val="20"/>
              </w:rPr>
              <w:t xml:space="preserve">. (2013) Microneedle-mediated intrascleral delivery of </w:t>
            </w:r>
            <w:r w:rsidRPr="00CE388A">
              <w:rPr>
                <w:rFonts w:ascii="Helvetica" w:hAnsi="Helvetica"/>
                <w:i/>
                <w:iCs/>
                <w:sz w:val="20"/>
                <w:szCs w:val="20"/>
              </w:rPr>
              <w:t xml:space="preserve">in situ </w:t>
            </w:r>
            <w:r w:rsidRPr="00CE388A">
              <w:rPr>
                <w:rFonts w:ascii="Helvetica" w:hAnsi="Helvetica"/>
                <w:sz w:val="20"/>
                <w:szCs w:val="20"/>
              </w:rPr>
              <w:t xml:space="preserve">forming </w:t>
            </w:r>
            <w:proofErr w:type="spellStart"/>
            <w:r w:rsidRPr="00CE388A">
              <w:rPr>
                <w:rFonts w:ascii="Helvetica" w:hAnsi="Helvetica"/>
                <w:sz w:val="20"/>
                <w:szCs w:val="20"/>
              </w:rPr>
              <w:t>thermoresponsive</w:t>
            </w:r>
            <w:proofErr w:type="spellEnd"/>
            <w:r w:rsidRPr="00CE388A">
              <w:rPr>
                <w:rFonts w:ascii="Helvetica" w:hAnsi="Helvetica"/>
                <w:sz w:val="20"/>
                <w:szCs w:val="20"/>
              </w:rPr>
              <w:t xml:space="preserve"> implants for sustained ocular drug delivery. </w:t>
            </w:r>
            <w:r w:rsidRPr="00CE388A">
              <w:rPr>
                <w:rFonts w:ascii="Helvetica" w:hAnsi="Helvetica"/>
                <w:i/>
                <w:iCs/>
                <w:sz w:val="20"/>
                <w:szCs w:val="20"/>
              </w:rPr>
              <w:t>J Pharmacy and Pharmacology</w:t>
            </w:r>
            <w:r w:rsidRPr="00CE388A">
              <w:rPr>
                <w:rFonts w:ascii="Helvetica" w:hAnsi="Helvetica"/>
                <w:sz w:val="20"/>
                <w:szCs w:val="20"/>
              </w:rPr>
              <w:t xml:space="preserve">, 66, 584-95 </w:t>
            </w:r>
          </w:p>
          <w:p w14:paraId="2BFEE3B7" w14:textId="77777777" w:rsidR="00CE388A" w:rsidRDefault="00CE388A" w:rsidP="002A0A29">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hAnsi="Helvetica"/>
                <w:sz w:val="20"/>
                <w:szCs w:val="20"/>
              </w:rPr>
            </w:pPr>
          </w:p>
          <w:p w14:paraId="69C31F4A" w14:textId="41B59D44" w:rsidR="007F3CD9" w:rsidRPr="002A0A29" w:rsidRDefault="00BB66B8" w:rsidP="002A0A29">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eastAsia="MS Mincho" w:hAnsi="Helvetica" w:cs="Times"/>
                <w:sz w:val="20"/>
                <w:szCs w:val="20"/>
              </w:rPr>
            </w:pPr>
            <w:r w:rsidRPr="002A0A29">
              <w:rPr>
                <w:rFonts w:ascii="Helvetica" w:hAnsi="Helvetica"/>
                <w:sz w:val="20"/>
                <w:szCs w:val="20"/>
              </w:rPr>
              <w:t xml:space="preserve"> </w:t>
            </w:r>
          </w:p>
        </w:tc>
      </w:tr>
      <w:tr w:rsidR="00695F66" w14:paraId="4E56534D" w14:textId="77777777" w:rsidTr="001652CF">
        <w:trPr>
          <w:trHeight w:val="625"/>
        </w:trPr>
        <w:tc>
          <w:tcPr>
            <w:tcW w:w="1838" w:type="dxa"/>
            <w:shd w:val="clear" w:color="auto" w:fill="DEEAF6" w:themeFill="accent1" w:themeFillTint="33"/>
          </w:tcPr>
          <w:p w14:paraId="3F9B8C4D" w14:textId="77777777" w:rsidR="00695F66" w:rsidRDefault="000F6B4D">
            <w:pPr>
              <w:rPr>
                <w:b/>
              </w:rPr>
            </w:pPr>
            <w:r>
              <w:rPr>
                <w:b/>
              </w:rPr>
              <w:t>*Supervisor(s)</w:t>
            </w:r>
          </w:p>
        </w:tc>
        <w:tc>
          <w:tcPr>
            <w:tcW w:w="7473" w:type="dxa"/>
          </w:tcPr>
          <w:p w14:paraId="44282CCF" w14:textId="6E636E36" w:rsidR="00CE388A" w:rsidRDefault="00BB66B8">
            <w:r>
              <w:t xml:space="preserve">Dr </w:t>
            </w:r>
            <w:r w:rsidR="00CE388A">
              <w:t xml:space="preserve">Raj </w:t>
            </w:r>
            <w:r>
              <w:t>Thakur</w:t>
            </w:r>
            <w:r w:rsidR="00596603">
              <w:t xml:space="preserve"> </w:t>
            </w:r>
          </w:p>
          <w:p w14:paraId="4D62474E" w14:textId="45FE3446" w:rsidR="00695F66" w:rsidRPr="007F3CD9" w:rsidRDefault="00CE388A">
            <w:r>
              <w:t>Prof Ryan Donnelly</w:t>
            </w:r>
          </w:p>
        </w:tc>
      </w:tr>
      <w:tr w:rsidR="007F3CD9" w14:paraId="4E0B3869" w14:textId="77777777" w:rsidTr="001652CF">
        <w:trPr>
          <w:trHeight w:val="630"/>
        </w:trPr>
        <w:tc>
          <w:tcPr>
            <w:tcW w:w="1838" w:type="dxa"/>
            <w:shd w:val="clear" w:color="auto" w:fill="DEEAF6" w:themeFill="accent1" w:themeFillTint="33"/>
          </w:tcPr>
          <w:p w14:paraId="60C69440" w14:textId="77777777" w:rsidR="007F3CD9" w:rsidRPr="007F3CD9" w:rsidRDefault="00695F66">
            <w:pPr>
              <w:rPr>
                <w:b/>
              </w:rPr>
            </w:pPr>
            <w:r>
              <w:rPr>
                <w:b/>
              </w:rPr>
              <w:t>*</w:t>
            </w:r>
            <w:r w:rsidR="001B792D">
              <w:rPr>
                <w:b/>
              </w:rPr>
              <w:t xml:space="preserve">Eligibility / residence </w:t>
            </w:r>
            <w:r w:rsidR="007F3CD9">
              <w:rPr>
                <w:b/>
              </w:rPr>
              <w:t>Status</w:t>
            </w:r>
          </w:p>
        </w:tc>
        <w:tc>
          <w:tcPr>
            <w:tcW w:w="7473" w:type="dxa"/>
          </w:tcPr>
          <w:p w14:paraId="3D324EF1" w14:textId="5C8E217F" w:rsidR="007F3CD9" w:rsidRPr="007F3CD9" w:rsidRDefault="007F3CD9" w:rsidP="00BB66B8">
            <w:r>
              <w:t xml:space="preserve">UK/EU </w:t>
            </w:r>
          </w:p>
        </w:tc>
      </w:tr>
      <w:tr w:rsidR="007F3CD9" w14:paraId="0ED025C8" w14:textId="77777777" w:rsidTr="00CE388A">
        <w:trPr>
          <w:trHeight w:val="313"/>
        </w:trPr>
        <w:tc>
          <w:tcPr>
            <w:tcW w:w="1838" w:type="dxa"/>
            <w:shd w:val="clear" w:color="auto" w:fill="DEEAF6" w:themeFill="accent1" w:themeFillTint="33"/>
          </w:tcPr>
          <w:p w14:paraId="1F7FEB37" w14:textId="77777777" w:rsidR="007F3CD9" w:rsidRDefault="00695F66">
            <w:pPr>
              <w:rPr>
                <w:b/>
              </w:rPr>
            </w:pPr>
            <w:r>
              <w:rPr>
                <w:b/>
              </w:rPr>
              <w:t>Country</w:t>
            </w:r>
          </w:p>
        </w:tc>
        <w:tc>
          <w:tcPr>
            <w:tcW w:w="7473" w:type="dxa"/>
          </w:tcPr>
          <w:p w14:paraId="096F5302" w14:textId="69FC3CAE" w:rsidR="007F3CD9" w:rsidRDefault="00CE388A">
            <w:r>
              <w:t>UK</w:t>
            </w:r>
          </w:p>
        </w:tc>
      </w:tr>
      <w:tr w:rsidR="007F3CD9" w14:paraId="5A9A4024" w14:textId="77777777" w:rsidTr="001652CF">
        <w:trPr>
          <w:trHeight w:val="630"/>
        </w:trPr>
        <w:tc>
          <w:tcPr>
            <w:tcW w:w="1838" w:type="dxa"/>
            <w:shd w:val="clear" w:color="auto" w:fill="DEEAF6" w:themeFill="accent1" w:themeFillTint="33"/>
          </w:tcPr>
          <w:p w14:paraId="62462A05" w14:textId="77777777" w:rsidR="007F3CD9" w:rsidRDefault="00695F66">
            <w:pPr>
              <w:rPr>
                <w:b/>
              </w:rPr>
            </w:pPr>
            <w:r>
              <w:rPr>
                <w:b/>
              </w:rPr>
              <w:t>*</w:t>
            </w:r>
            <w:r w:rsidR="007F3CD9">
              <w:rPr>
                <w:b/>
              </w:rPr>
              <w:t xml:space="preserve">Start date and duration </w:t>
            </w:r>
          </w:p>
        </w:tc>
        <w:tc>
          <w:tcPr>
            <w:tcW w:w="7473" w:type="dxa"/>
          </w:tcPr>
          <w:p w14:paraId="38C6DCC8" w14:textId="4A72D6A7" w:rsidR="007F3CD9" w:rsidRDefault="00695F66" w:rsidP="007F3CD9">
            <w:r>
              <w:t>1 October 20</w:t>
            </w:r>
            <w:r w:rsidR="005147CD">
              <w:t>2</w:t>
            </w:r>
            <w:r w:rsidR="004258A6">
              <w:t>1</w:t>
            </w:r>
            <w:r w:rsidR="008C7EE0">
              <w:t xml:space="preserve">, 3 </w:t>
            </w:r>
            <w:proofErr w:type="spellStart"/>
            <w:r w:rsidR="008C7EE0">
              <w:t>yrs</w:t>
            </w:r>
            <w:proofErr w:type="spellEnd"/>
            <w:r w:rsidR="008C7EE0">
              <w:t xml:space="preserve"> </w:t>
            </w:r>
          </w:p>
          <w:p w14:paraId="4010ABC3" w14:textId="12A5759D" w:rsidR="007F3CD9" w:rsidRDefault="007F3CD9" w:rsidP="003A76E9"/>
        </w:tc>
      </w:tr>
      <w:tr w:rsidR="007F3CD9" w14:paraId="28F29B22" w14:textId="77777777" w:rsidTr="001652CF">
        <w:trPr>
          <w:trHeight w:val="444"/>
        </w:trPr>
        <w:tc>
          <w:tcPr>
            <w:tcW w:w="1838" w:type="dxa"/>
            <w:shd w:val="clear" w:color="auto" w:fill="DEEAF6" w:themeFill="accent1" w:themeFillTint="33"/>
          </w:tcPr>
          <w:p w14:paraId="6A9B78EC" w14:textId="77777777" w:rsidR="007F3CD9" w:rsidRPr="007F3CD9" w:rsidRDefault="00695F66">
            <w:pPr>
              <w:rPr>
                <w:b/>
              </w:rPr>
            </w:pPr>
            <w:r>
              <w:rPr>
                <w:b/>
              </w:rPr>
              <w:t>*</w:t>
            </w:r>
            <w:r w:rsidR="007F3CD9" w:rsidRPr="007F3CD9">
              <w:rPr>
                <w:b/>
              </w:rPr>
              <w:t>Faculty</w:t>
            </w:r>
          </w:p>
        </w:tc>
        <w:tc>
          <w:tcPr>
            <w:tcW w:w="7473" w:type="dxa"/>
          </w:tcPr>
          <w:p w14:paraId="697AD963" w14:textId="77777777" w:rsidR="007F3CD9" w:rsidRDefault="007C3A10">
            <w:r>
              <w:t>MHLS</w:t>
            </w:r>
          </w:p>
        </w:tc>
      </w:tr>
      <w:tr w:rsidR="007F3CD9" w14:paraId="0F4A2020" w14:textId="77777777" w:rsidTr="001652CF">
        <w:trPr>
          <w:trHeight w:val="470"/>
        </w:trPr>
        <w:tc>
          <w:tcPr>
            <w:tcW w:w="1838" w:type="dxa"/>
            <w:shd w:val="clear" w:color="auto" w:fill="DEEAF6" w:themeFill="accent1" w:themeFillTint="33"/>
          </w:tcPr>
          <w:p w14:paraId="7E363DF7" w14:textId="77777777" w:rsidR="007F3CD9" w:rsidRPr="007F3CD9" w:rsidRDefault="00695F66">
            <w:pPr>
              <w:rPr>
                <w:b/>
              </w:rPr>
            </w:pPr>
            <w:r>
              <w:rPr>
                <w:b/>
              </w:rPr>
              <w:t>*</w:t>
            </w:r>
            <w:r w:rsidR="007F3CD9" w:rsidRPr="007F3CD9">
              <w:rPr>
                <w:b/>
              </w:rPr>
              <w:t>Research centre / School</w:t>
            </w:r>
          </w:p>
        </w:tc>
        <w:tc>
          <w:tcPr>
            <w:tcW w:w="7473" w:type="dxa"/>
          </w:tcPr>
          <w:p w14:paraId="01F42C0A" w14:textId="77777777" w:rsidR="007F3CD9" w:rsidRDefault="007C3A10">
            <w:r>
              <w:t>Pharmacy</w:t>
            </w:r>
          </w:p>
        </w:tc>
      </w:tr>
      <w:tr w:rsidR="001B792D" w14:paraId="2B55D6E4" w14:textId="77777777" w:rsidTr="001652CF">
        <w:trPr>
          <w:trHeight w:val="470"/>
        </w:trPr>
        <w:tc>
          <w:tcPr>
            <w:tcW w:w="1838" w:type="dxa"/>
            <w:shd w:val="clear" w:color="auto" w:fill="DEEAF6" w:themeFill="accent1" w:themeFillTint="33"/>
          </w:tcPr>
          <w:p w14:paraId="29BF30B7" w14:textId="77777777" w:rsidR="001B792D" w:rsidRDefault="001B792D">
            <w:pPr>
              <w:rPr>
                <w:b/>
              </w:rPr>
            </w:pPr>
            <w:r>
              <w:rPr>
                <w:b/>
              </w:rPr>
              <w:t>Subject area</w:t>
            </w:r>
          </w:p>
        </w:tc>
        <w:tc>
          <w:tcPr>
            <w:tcW w:w="7473" w:type="dxa"/>
          </w:tcPr>
          <w:p w14:paraId="26BC92BB" w14:textId="6FD674A3" w:rsidR="001B792D" w:rsidRDefault="00BB66B8" w:rsidP="00BB66B8">
            <w:r w:rsidRPr="007C3A10">
              <w:rPr>
                <w:rFonts w:cs="Arial"/>
              </w:rPr>
              <w:t xml:space="preserve">Pharmacy, Pharmaceutical Sciences, </w:t>
            </w:r>
            <w:r>
              <w:rPr>
                <w:rFonts w:cs="Arial"/>
              </w:rPr>
              <w:t>or Polymer science</w:t>
            </w:r>
            <w:r w:rsidR="008C7EE0">
              <w:rPr>
                <w:rFonts w:cs="Arial"/>
              </w:rPr>
              <w:t xml:space="preserve">, drug delivery </w:t>
            </w:r>
          </w:p>
        </w:tc>
      </w:tr>
      <w:tr w:rsidR="007F3CD9" w14:paraId="37F2D25C" w14:textId="77777777" w:rsidTr="001652CF">
        <w:trPr>
          <w:trHeight w:val="444"/>
        </w:trPr>
        <w:tc>
          <w:tcPr>
            <w:tcW w:w="1838" w:type="dxa"/>
            <w:shd w:val="clear" w:color="auto" w:fill="DEEAF6" w:themeFill="accent1" w:themeFillTint="33"/>
          </w:tcPr>
          <w:p w14:paraId="1721C332" w14:textId="77777777" w:rsidR="007F3CD9" w:rsidRDefault="001B792D">
            <w:pPr>
              <w:rPr>
                <w:b/>
              </w:rPr>
            </w:pPr>
            <w:r>
              <w:rPr>
                <w:b/>
              </w:rPr>
              <w:t>Candidate requirements / K</w:t>
            </w:r>
            <w:r w:rsidR="00695F66">
              <w:rPr>
                <w:b/>
              </w:rPr>
              <w:t xml:space="preserve">ey skills required for the post </w:t>
            </w:r>
          </w:p>
          <w:p w14:paraId="054A0AE4" w14:textId="77777777" w:rsidR="00695F66" w:rsidRPr="007F3CD9" w:rsidRDefault="00695F66">
            <w:pPr>
              <w:rPr>
                <w:b/>
              </w:rPr>
            </w:pPr>
          </w:p>
        </w:tc>
        <w:tc>
          <w:tcPr>
            <w:tcW w:w="7473" w:type="dxa"/>
          </w:tcPr>
          <w:p w14:paraId="20CAE563" w14:textId="77777777" w:rsidR="00CE2BB1" w:rsidRDefault="00CE2BB1" w:rsidP="00CE2BB1">
            <w:pPr>
              <w:rPr>
                <w:rFonts w:ascii="Calibri" w:hAnsi="Calibri" w:cs="Arial"/>
              </w:rPr>
            </w:pPr>
            <w:r w:rsidRPr="001D5159">
              <w:rPr>
                <w:rFonts w:ascii="Calibri" w:hAnsi="Calibri" w:cs="Arial"/>
              </w:rPr>
              <w:t>Applicants should have a 1st or 2.1 honours degree (or equivalent) in a relevant subject. Relevant subjects include Pharmacy</w:t>
            </w:r>
            <w:r>
              <w:rPr>
                <w:rFonts w:ascii="Calibri" w:hAnsi="Calibri" w:cs="Arial"/>
              </w:rPr>
              <w:t>, Pharmaceutical</w:t>
            </w:r>
            <w:r w:rsidRPr="001D5159">
              <w:rPr>
                <w:rFonts w:ascii="Calibri" w:hAnsi="Calibri" w:cs="Arial"/>
              </w:rPr>
              <w:t xml:space="preserve"> Sciences, Biochemistry, Biological/Biomedical Sciences, Chemistry, Engineering, or a closely related discipline. Students who have a 2.2 honours degree and a </w:t>
            </w:r>
            <w:proofErr w:type="gramStart"/>
            <w:r w:rsidRPr="001D5159">
              <w:rPr>
                <w:rFonts w:ascii="Calibri" w:hAnsi="Calibri" w:cs="Arial"/>
              </w:rPr>
              <w:t>Master’s</w:t>
            </w:r>
            <w:proofErr w:type="gramEnd"/>
            <w:r w:rsidRPr="001D5159">
              <w:rPr>
                <w:rFonts w:ascii="Calibri" w:hAnsi="Calibri" w:cs="Arial"/>
              </w:rPr>
              <w:t xml:space="preserve"> degree may also be considered, but the School reserves the right to shortlist for interview only those applicants who have demonstrated high academic attainment to date</w:t>
            </w:r>
            <w:r>
              <w:rPr>
                <w:rFonts w:ascii="Calibri" w:hAnsi="Calibri" w:cs="Arial"/>
              </w:rPr>
              <w:t>.</w:t>
            </w:r>
          </w:p>
          <w:p w14:paraId="22CEC887" w14:textId="77777777" w:rsidR="00CE2BB1" w:rsidRDefault="00CE2BB1" w:rsidP="00CE2BB1">
            <w:pPr>
              <w:rPr>
                <w:rFonts w:ascii="Calibri" w:hAnsi="Calibri" w:cs="Arial"/>
              </w:rPr>
            </w:pPr>
          </w:p>
          <w:p w14:paraId="71EFBA68" w14:textId="77777777" w:rsidR="00CE2BB1" w:rsidRDefault="00CE2BB1" w:rsidP="00CE2BB1">
            <w:pPr>
              <w:rPr>
                <w:rFonts w:ascii="Calibri" w:hAnsi="Calibri" w:cs="Arial"/>
              </w:rPr>
            </w:pPr>
            <w:r>
              <w:rPr>
                <w:rFonts w:ascii="Calibri" w:hAnsi="Calibri" w:cs="Arial"/>
              </w:rPr>
              <w:t xml:space="preserve">For </w:t>
            </w:r>
            <w:r w:rsidRPr="00F120B1">
              <w:rPr>
                <w:rFonts w:ascii="Calibri" w:hAnsi="Calibri" w:cs="Arial"/>
              </w:rPr>
              <w:t>DfE studentship</w:t>
            </w:r>
            <w:r>
              <w:rPr>
                <w:rFonts w:ascii="Calibri" w:hAnsi="Calibri" w:cs="Arial"/>
              </w:rPr>
              <w:t xml:space="preserve"> eligibility, please check the link below.</w:t>
            </w:r>
          </w:p>
          <w:p w14:paraId="14CF200B" w14:textId="77777777" w:rsidR="00CE2BB1" w:rsidRDefault="005A5D18" w:rsidP="00CE2BB1">
            <w:pPr>
              <w:rPr>
                <w:rFonts w:ascii="Calibri" w:hAnsi="Calibri"/>
              </w:rPr>
            </w:pPr>
            <w:hyperlink r:id="rId5" w:history="1">
              <w:r w:rsidR="00CE2BB1" w:rsidRPr="000B11A0">
                <w:rPr>
                  <w:rStyle w:val="Hyperlink"/>
                  <w:rFonts w:ascii="Calibri" w:hAnsi="Calibri"/>
                </w:rPr>
                <w:t>https://www.nidirect.gov.uk/articles/department-economy-studentships</w:t>
              </w:r>
            </w:hyperlink>
          </w:p>
          <w:p w14:paraId="04908960" w14:textId="10AB9048" w:rsidR="007F3CD9" w:rsidRPr="007C3A10" w:rsidRDefault="007F3CD9" w:rsidP="00BB66B8"/>
        </w:tc>
      </w:tr>
      <w:tr w:rsidR="007F3CD9" w14:paraId="20B23C1A" w14:textId="77777777" w:rsidTr="001652CF">
        <w:trPr>
          <w:trHeight w:val="444"/>
        </w:trPr>
        <w:tc>
          <w:tcPr>
            <w:tcW w:w="1838" w:type="dxa"/>
            <w:shd w:val="clear" w:color="auto" w:fill="DEEAF6" w:themeFill="accent1" w:themeFillTint="33"/>
          </w:tcPr>
          <w:p w14:paraId="797CECE2" w14:textId="77777777" w:rsidR="007F3CD9" w:rsidRDefault="00695F66">
            <w:pPr>
              <w:rPr>
                <w:b/>
              </w:rPr>
            </w:pPr>
            <w:r>
              <w:rPr>
                <w:b/>
              </w:rPr>
              <w:t>*</w:t>
            </w:r>
            <w:r w:rsidR="007F3CD9">
              <w:rPr>
                <w:b/>
              </w:rPr>
              <w:t>Deadline for applications</w:t>
            </w:r>
          </w:p>
        </w:tc>
        <w:tc>
          <w:tcPr>
            <w:tcW w:w="7473" w:type="dxa"/>
          </w:tcPr>
          <w:p w14:paraId="489895A8" w14:textId="7AD58A83" w:rsidR="007F3CD9" w:rsidRDefault="008C7EE0">
            <w:r>
              <w:t xml:space="preserve">Open deadline </w:t>
            </w:r>
          </w:p>
        </w:tc>
      </w:tr>
      <w:tr w:rsidR="007F3CD9" w14:paraId="7A487D07" w14:textId="77777777" w:rsidTr="001652CF">
        <w:trPr>
          <w:trHeight w:val="444"/>
        </w:trPr>
        <w:tc>
          <w:tcPr>
            <w:tcW w:w="1838" w:type="dxa"/>
            <w:shd w:val="clear" w:color="auto" w:fill="DEEAF6" w:themeFill="accent1" w:themeFillTint="33"/>
          </w:tcPr>
          <w:p w14:paraId="70B884C3" w14:textId="77777777" w:rsidR="007F3CD9" w:rsidRDefault="00695F66">
            <w:pPr>
              <w:rPr>
                <w:b/>
              </w:rPr>
            </w:pPr>
            <w:r>
              <w:rPr>
                <w:b/>
              </w:rPr>
              <w:t>*</w:t>
            </w:r>
            <w:r w:rsidR="007F3CD9">
              <w:rPr>
                <w:b/>
              </w:rPr>
              <w:t>How to apply / contacts</w:t>
            </w:r>
          </w:p>
        </w:tc>
        <w:tc>
          <w:tcPr>
            <w:tcW w:w="7473" w:type="dxa"/>
          </w:tcPr>
          <w:p w14:paraId="71CA2C71" w14:textId="77777777" w:rsidR="007F3CD9" w:rsidRDefault="007F3CD9">
            <w:r w:rsidRPr="007F3CD9">
              <w:t>Postgraduate Research applicants</w:t>
            </w:r>
            <w:r w:rsidR="007C3A10">
              <w:t xml:space="preserve"> for</w:t>
            </w:r>
            <w:r w:rsidRPr="007F3CD9">
              <w:t xml:space="preserve"> </w:t>
            </w:r>
            <w:proofErr w:type="gramStart"/>
            <w:r w:rsidR="007C3A10">
              <w:t xml:space="preserve">Pharmacy </w:t>
            </w:r>
            <w:r w:rsidRPr="007F3CD9">
              <w:t xml:space="preserve"> who</w:t>
            </w:r>
            <w:proofErr w:type="gramEnd"/>
            <w:r w:rsidRPr="007F3CD9">
              <w:t xml:space="preserve">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7417D1C6" w14:textId="77777777" w:rsidR="007F3CD9" w:rsidRDefault="007F3CD9"/>
          <w:p w14:paraId="50D79A55" w14:textId="77777777" w:rsidR="007F3CD9" w:rsidRDefault="005A5D18">
            <w:hyperlink r:id="rId6" w:history="1">
              <w:r w:rsidR="007F3CD9" w:rsidRPr="00920649">
                <w:rPr>
                  <w:rStyle w:val="Hyperlink"/>
                </w:rPr>
                <w:t>https://dap.qub.ac.uk/portal/user/u_login.php</w:t>
              </w:r>
            </w:hyperlink>
            <w:r w:rsidR="007F3CD9">
              <w:t xml:space="preserve"> </w:t>
            </w:r>
            <w:r w:rsidR="007F3CD9">
              <w:br/>
            </w:r>
          </w:p>
        </w:tc>
      </w:tr>
      <w:tr w:rsidR="007F3CD9" w14:paraId="768977FD" w14:textId="77777777" w:rsidTr="001652CF">
        <w:trPr>
          <w:trHeight w:val="470"/>
        </w:trPr>
        <w:tc>
          <w:tcPr>
            <w:tcW w:w="1838" w:type="dxa"/>
            <w:shd w:val="clear" w:color="auto" w:fill="DEEAF6" w:themeFill="accent1" w:themeFillTint="33"/>
          </w:tcPr>
          <w:p w14:paraId="49F160B1"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4C17368C" w14:textId="77777777" w:rsidR="007F3CD9" w:rsidRDefault="007F3CD9"/>
        </w:tc>
        <w:tc>
          <w:tcPr>
            <w:tcW w:w="7473" w:type="dxa"/>
          </w:tcPr>
          <w:p w14:paraId="3194874E" w14:textId="77777777" w:rsidR="007F3CD9" w:rsidRDefault="007F3CD9"/>
          <w:p w14:paraId="2A178B23" w14:textId="77777777" w:rsidR="007F3CD9" w:rsidRDefault="005A5D18">
            <w:hyperlink r:id="rId7" w:history="1">
              <w:r w:rsidR="007C3A10" w:rsidRPr="00810712">
                <w:rPr>
                  <w:rStyle w:val="Hyperlink"/>
                </w:rPr>
                <w:t>http://www.qub.ac.uk/schools/SchoolofPharmacy/Research/PostgraduatePositions/</w:t>
              </w:r>
            </w:hyperlink>
          </w:p>
          <w:p w14:paraId="64418259" w14:textId="77777777" w:rsidR="007C3A10" w:rsidRDefault="007C3A10"/>
          <w:p w14:paraId="403278DB" w14:textId="6AD717EB" w:rsidR="007C3A10" w:rsidRDefault="005A5D18">
            <w:pPr>
              <w:rPr>
                <w:rStyle w:val="Hyperlink"/>
              </w:rPr>
            </w:pPr>
            <w:hyperlink r:id="rId8" w:history="1">
              <w:r w:rsidR="007C3A10" w:rsidRPr="00810712">
                <w:rPr>
                  <w:rStyle w:val="Hyperlink"/>
                </w:rPr>
                <w:t>http://www.qub.ac.uk/schools/SchoolofPharmacy/Research/</w:t>
              </w:r>
            </w:hyperlink>
          </w:p>
          <w:p w14:paraId="58BD7A85" w14:textId="78122CBC" w:rsidR="00CE2BB1" w:rsidRDefault="00CE2BB1">
            <w:pPr>
              <w:rPr>
                <w:rStyle w:val="Hyperlink"/>
              </w:rPr>
            </w:pPr>
          </w:p>
          <w:p w14:paraId="6C4B2221" w14:textId="01EE6FE8" w:rsidR="00CE2BB1" w:rsidRDefault="005A5D18">
            <w:hyperlink r:id="rId9" w:history="1">
              <w:r w:rsidR="00CE2BB1" w:rsidRPr="00E077B3">
                <w:rPr>
                  <w:rStyle w:val="Hyperlink"/>
                </w:rPr>
                <w:t>https://www.qub.ac.uk/schools/SchoolofPharmacy/Research/find-a-phd-supervisor/dr-thakur-raghu-raj-singh.html</w:t>
              </w:r>
            </w:hyperlink>
          </w:p>
          <w:p w14:paraId="5E4DFB23" w14:textId="3347CDC1" w:rsidR="00CE2BB1" w:rsidRDefault="00CE2BB1"/>
          <w:p w14:paraId="64AD40FA" w14:textId="66B3599C" w:rsidR="00CE2BB1" w:rsidRDefault="005A5D18">
            <w:hyperlink r:id="rId10" w:history="1">
              <w:r w:rsidR="00CE2BB1" w:rsidRPr="00E077B3">
                <w:rPr>
                  <w:rStyle w:val="Hyperlink"/>
                </w:rPr>
                <w:t>https://www.qub.ac.uk/schools/SchoolofPharmacy/Research/find-a-phd-supervisor/professor-ryan-donnelly.html</w:t>
              </w:r>
            </w:hyperlink>
          </w:p>
          <w:p w14:paraId="6B53524E" w14:textId="77777777" w:rsidR="007C3A10" w:rsidRDefault="007C3A10"/>
        </w:tc>
      </w:tr>
      <w:tr w:rsidR="001B792D" w14:paraId="047D132B" w14:textId="77777777" w:rsidTr="001652CF">
        <w:trPr>
          <w:trHeight w:val="470"/>
        </w:trPr>
        <w:tc>
          <w:tcPr>
            <w:tcW w:w="1838" w:type="dxa"/>
            <w:shd w:val="clear" w:color="auto" w:fill="DEEAF6" w:themeFill="accent1" w:themeFillTint="33"/>
          </w:tcPr>
          <w:p w14:paraId="12CD1648" w14:textId="77777777" w:rsidR="001B792D" w:rsidRDefault="001B792D">
            <w:pPr>
              <w:rPr>
                <w:b/>
              </w:rPr>
            </w:pPr>
            <w:r>
              <w:rPr>
                <w:b/>
              </w:rPr>
              <w:t>Keywords for search filters</w:t>
            </w:r>
          </w:p>
        </w:tc>
        <w:tc>
          <w:tcPr>
            <w:tcW w:w="7473" w:type="dxa"/>
          </w:tcPr>
          <w:p w14:paraId="60DC74E3" w14:textId="2376DC51" w:rsidR="001B792D" w:rsidRDefault="00CE388A">
            <w:r>
              <w:t xml:space="preserve">Microneedles, Ocular </w:t>
            </w:r>
            <w:r w:rsidR="00BB66B8">
              <w:t xml:space="preserve">drug delivery, </w:t>
            </w:r>
            <w:r w:rsidR="002A0A29">
              <w:t>controlled release</w:t>
            </w:r>
            <w:r w:rsidR="00BB66B8">
              <w:t>, polymer implants, biologics</w:t>
            </w:r>
            <w:r>
              <w:t xml:space="preserve"> delivery</w:t>
            </w:r>
          </w:p>
        </w:tc>
      </w:tr>
      <w:tr w:rsidR="001B792D" w14:paraId="0AC7B4C0" w14:textId="77777777" w:rsidTr="001652CF">
        <w:trPr>
          <w:trHeight w:val="470"/>
        </w:trPr>
        <w:tc>
          <w:tcPr>
            <w:tcW w:w="1838" w:type="dxa"/>
            <w:shd w:val="clear" w:color="auto" w:fill="DEEAF6" w:themeFill="accent1" w:themeFillTint="33"/>
          </w:tcPr>
          <w:p w14:paraId="4D54FEE9" w14:textId="77777777" w:rsidR="001B792D" w:rsidRDefault="001B792D">
            <w:pPr>
              <w:rPr>
                <w:b/>
              </w:rPr>
            </w:pPr>
            <w:r>
              <w:rPr>
                <w:b/>
              </w:rPr>
              <w:t>Training provided through the research project</w:t>
            </w:r>
          </w:p>
        </w:tc>
        <w:tc>
          <w:tcPr>
            <w:tcW w:w="7473" w:type="dxa"/>
          </w:tcPr>
          <w:p w14:paraId="50C40384" w14:textId="4AE8EA31" w:rsidR="001B792D" w:rsidRDefault="008C7EE0">
            <w:r>
              <w:t xml:space="preserve">Students will get training in pharmaceutical formulation; pharmaceutical analysis; </w:t>
            </w:r>
            <w:r w:rsidR="002A0A29">
              <w:t>microbiology; and mathematical modelling</w:t>
            </w:r>
            <w:r>
              <w:t xml:space="preserve">. In addition, students will be trained in a </w:t>
            </w:r>
            <w:r w:rsidR="00C823A0">
              <w:t xml:space="preserve">wide </w:t>
            </w:r>
            <w:r>
              <w:t xml:space="preserve">range of R&amp;D related activities throughout the PhD program that will enable them to become an independent research and/or </w:t>
            </w:r>
            <w:r w:rsidR="00C823A0">
              <w:t>ready for industrial positions</w:t>
            </w:r>
            <w:r w:rsidR="002A0A29">
              <w:t xml:space="preserve">. </w:t>
            </w:r>
            <w:r w:rsidR="002A0A29" w:rsidRPr="002A0A29">
              <w:t>It will also provide opportunity for the PhD student to present their research at national and international conferences</w:t>
            </w:r>
            <w:r w:rsidR="00C823A0">
              <w:t xml:space="preserve"> </w:t>
            </w:r>
          </w:p>
        </w:tc>
      </w:tr>
      <w:tr w:rsidR="001B792D" w14:paraId="35AA849E" w14:textId="77777777" w:rsidTr="001652CF">
        <w:trPr>
          <w:trHeight w:val="470"/>
        </w:trPr>
        <w:tc>
          <w:tcPr>
            <w:tcW w:w="1838" w:type="dxa"/>
            <w:shd w:val="clear" w:color="auto" w:fill="DEEAF6" w:themeFill="accent1" w:themeFillTint="33"/>
          </w:tcPr>
          <w:p w14:paraId="2A6DDC67" w14:textId="77777777" w:rsidR="001B792D" w:rsidRDefault="001B792D">
            <w:pPr>
              <w:rPr>
                <w:b/>
              </w:rPr>
            </w:pPr>
            <w:r>
              <w:rPr>
                <w:b/>
              </w:rPr>
              <w:t>Expected impact activities</w:t>
            </w:r>
          </w:p>
        </w:tc>
        <w:tc>
          <w:tcPr>
            <w:tcW w:w="7473" w:type="dxa"/>
          </w:tcPr>
          <w:p w14:paraId="53AD2D2A" w14:textId="70B4A748" w:rsidR="001B792D" w:rsidRDefault="00CE2BB1">
            <w:r w:rsidRPr="00D260CE">
              <w:t>The project is expected to offer innovative approach</w:t>
            </w:r>
            <w:r>
              <w:t>es in ocular drug delivery</w:t>
            </w:r>
            <w:r w:rsidRPr="00D260CE">
              <w:t xml:space="preserve">. The PhD student will be encouraged to engage in a variety of impact activities, disseminate the research project findings through publications in relevant peer-reviewed journals, present the results of the study at conferences (in-person and/or online), and make them accessible to general public through broader channels, such as social media and popular science outlets.  </w:t>
            </w:r>
          </w:p>
        </w:tc>
      </w:tr>
    </w:tbl>
    <w:p w14:paraId="69AE6B80"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躰楮착"/>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hort Questions 2019 RT.docx"/>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469"/>
    <w:multiLevelType w:val="multilevel"/>
    <w:tmpl w:val="86C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382C"/>
    <w:multiLevelType w:val="multilevel"/>
    <w:tmpl w:val="399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0449"/>
    <w:rsid w:val="000B5232"/>
    <w:rsid w:val="000B5533"/>
    <w:rsid w:val="000C6238"/>
    <w:rsid w:val="000D526E"/>
    <w:rsid w:val="000F0B0E"/>
    <w:rsid w:val="000F380D"/>
    <w:rsid w:val="000F550F"/>
    <w:rsid w:val="000F6B4D"/>
    <w:rsid w:val="00100C14"/>
    <w:rsid w:val="00114809"/>
    <w:rsid w:val="0011755E"/>
    <w:rsid w:val="001215F1"/>
    <w:rsid w:val="00125BB4"/>
    <w:rsid w:val="00127B6D"/>
    <w:rsid w:val="0013226E"/>
    <w:rsid w:val="00136716"/>
    <w:rsid w:val="00136A7C"/>
    <w:rsid w:val="0014119A"/>
    <w:rsid w:val="00147201"/>
    <w:rsid w:val="00152845"/>
    <w:rsid w:val="00152DAA"/>
    <w:rsid w:val="00152DD3"/>
    <w:rsid w:val="00157E70"/>
    <w:rsid w:val="001652CF"/>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699C"/>
    <w:rsid w:val="0023305E"/>
    <w:rsid w:val="00234A97"/>
    <w:rsid w:val="002438AA"/>
    <w:rsid w:val="0024565D"/>
    <w:rsid w:val="002663D0"/>
    <w:rsid w:val="002679A5"/>
    <w:rsid w:val="00270CA4"/>
    <w:rsid w:val="00275E36"/>
    <w:rsid w:val="00286380"/>
    <w:rsid w:val="002A0180"/>
    <w:rsid w:val="002A0A29"/>
    <w:rsid w:val="002A22B2"/>
    <w:rsid w:val="002A6F4F"/>
    <w:rsid w:val="002B644E"/>
    <w:rsid w:val="002B6455"/>
    <w:rsid w:val="002D047A"/>
    <w:rsid w:val="002E0374"/>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10C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58A6"/>
    <w:rsid w:val="0043514D"/>
    <w:rsid w:val="00437BE9"/>
    <w:rsid w:val="00452039"/>
    <w:rsid w:val="004658F1"/>
    <w:rsid w:val="0047023E"/>
    <w:rsid w:val="0047276F"/>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7600"/>
    <w:rsid w:val="00512B98"/>
    <w:rsid w:val="005147CD"/>
    <w:rsid w:val="00527250"/>
    <w:rsid w:val="0053253B"/>
    <w:rsid w:val="0053628D"/>
    <w:rsid w:val="00541A46"/>
    <w:rsid w:val="00550AAE"/>
    <w:rsid w:val="00553AB1"/>
    <w:rsid w:val="00567EBE"/>
    <w:rsid w:val="0058648B"/>
    <w:rsid w:val="00596603"/>
    <w:rsid w:val="005B1A39"/>
    <w:rsid w:val="005B5E39"/>
    <w:rsid w:val="005B7F83"/>
    <w:rsid w:val="005D1843"/>
    <w:rsid w:val="005D4DF9"/>
    <w:rsid w:val="005E19CD"/>
    <w:rsid w:val="005F2741"/>
    <w:rsid w:val="005F301D"/>
    <w:rsid w:val="00612977"/>
    <w:rsid w:val="00636529"/>
    <w:rsid w:val="00636A02"/>
    <w:rsid w:val="0064028D"/>
    <w:rsid w:val="00640638"/>
    <w:rsid w:val="0064387C"/>
    <w:rsid w:val="00656476"/>
    <w:rsid w:val="00657EC8"/>
    <w:rsid w:val="00663A1A"/>
    <w:rsid w:val="006757CE"/>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83BF5"/>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35A1C"/>
    <w:rsid w:val="00836A05"/>
    <w:rsid w:val="0085153F"/>
    <w:rsid w:val="00854482"/>
    <w:rsid w:val="00862594"/>
    <w:rsid w:val="0087029C"/>
    <w:rsid w:val="00880D9A"/>
    <w:rsid w:val="0088290A"/>
    <w:rsid w:val="00884B0B"/>
    <w:rsid w:val="0088648A"/>
    <w:rsid w:val="0089003B"/>
    <w:rsid w:val="00890EB8"/>
    <w:rsid w:val="008937DE"/>
    <w:rsid w:val="00893C50"/>
    <w:rsid w:val="00897BAA"/>
    <w:rsid w:val="008A002F"/>
    <w:rsid w:val="008C083D"/>
    <w:rsid w:val="008C7EE0"/>
    <w:rsid w:val="008F1C24"/>
    <w:rsid w:val="00925FA3"/>
    <w:rsid w:val="009279B9"/>
    <w:rsid w:val="009453CE"/>
    <w:rsid w:val="0095334C"/>
    <w:rsid w:val="00956BE2"/>
    <w:rsid w:val="00957551"/>
    <w:rsid w:val="00966D14"/>
    <w:rsid w:val="00981E1C"/>
    <w:rsid w:val="00982267"/>
    <w:rsid w:val="00982CC7"/>
    <w:rsid w:val="00993573"/>
    <w:rsid w:val="00996932"/>
    <w:rsid w:val="009B03F1"/>
    <w:rsid w:val="009B569A"/>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51E47"/>
    <w:rsid w:val="00A768A4"/>
    <w:rsid w:val="00A907D7"/>
    <w:rsid w:val="00A90948"/>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F58"/>
    <w:rsid w:val="00B47154"/>
    <w:rsid w:val="00B50BAC"/>
    <w:rsid w:val="00B55E28"/>
    <w:rsid w:val="00B6354C"/>
    <w:rsid w:val="00B703CE"/>
    <w:rsid w:val="00BA71ED"/>
    <w:rsid w:val="00BB66B8"/>
    <w:rsid w:val="00BB6F08"/>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23A0"/>
    <w:rsid w:val="00C861B6"/>
    <w:rsid w:val="00C876DB"/>
    <w:rsid w:val="00C912B9"/>
    <w:rsid w:val="00C938C4"/>
    <w:rsid w:val="00CA2E64"/>
    <w:rsid w:val="00CA3E08"/>
    <w:rsid w:val="00CA70D8"/>
    <w:rsid w:val="00CB3D31"/>
    <w:rsid w:val="00CC767D"/>
    <w:rsid w:val="00CD4D50"/>
    <w:rsid w:val="00CE1429"/>
    <w:rsid w:val="00CE2BB1"/>
    <w:rsid w:val="00CE388A"/>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C7070"/>
    <w:rsid w:val="00DD1D77"/>
    <w:rsid w:val="00DD6932"/>
    <w:rsid w:val="00DF148B"/>
    <w:rsid w:val="00E11BB2"/>
    <w:rsid w:val="00E177D8"/>
    <w:rsid w:val="00E2148C"/>
    <w:rsid w:val="00E27D11"/>
    <w:rsid w:val="00E35E2D"/>
    <w:rsid w:val="00E36870"/>
    <w:rsid w:val="00E44D18"/>
    <w:rsid w:val="00E471FE"/>
    <w:rsid w:val="00E5373D"/>
    <w:rsid w:val="00E618A6"/>
    <w:rsid w:val="00E62BE0"/>
    <w:rsid w:val="00E720D9"/>
    <w:rsid w:val="00E721FA"/>
    <w:rsid w:val="00E731E0"/>
    <w:rsid w:val="00E76C26"/>
    <w:rsid w:val="00EA02F6"/>
    <w:rsid w:val="00EA0D01"/>
    <w:rsid w:val="00EA70C2"/>
    <w:rsid w:val="00EC4DE0"/>
    <w:rsid w:val="00EC505E"/>
    <w:rsid w:val="00ED21A7"/>
    <w:rsid w:val="00ED5C21"/>
    <w:rsid w:val="00EE14CB"/>
    <w:rsid w:val="00EE3B21"/>
    <w:rsid w:val="00EE5C5D"/>
    <w:rsid w:val="00EE693D"/>
    <w:rsid w:val="00EF23A4"/>
    <w:rsid w:val="00EF271B"/>
    <w:rsid w:val="00F036F4"/>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BB66B8"/>
    <w:rPr>
      <w:color w:val="954F72" w:themeColor="followedHyperlink"/>
      <w:u w:val="single"/>
    </w:rPr>
  </w:style>
  <w:style w:type="paragraph" w:styleId="NormalWeb">
    <w:name w:val="Normal (Web)"/>
    <w:basedOn w:val="Normal"/>
    <w:uiPriority w:val="99"/>
    <w:semiHidden/>
    <w:unhideWhenUsed/>
    <w:rsid w:val="002A0A29"/>
    <w:rPr>
      <w:rFonts w:ascii="Times New Roman" w:hAnsi="Times New Roman" w:cs="Times New Roman"/>
      <w:sz w:val="24"/>
      <w:szCs w:val="24"/>
    </w:rPr>
  </w:style>
  <w:style w:type="character" w:styleId="UnresolvedMention">
    <w:name w:val="Unresolved Mention"/>
    <w:basedOn w:val="DefaultParagraphFont"/>
    <w:uiPriority w:val="99"/>
    <w:rsid w:val="00CE2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2301">
      <w:bodyDiv w:val="1"/>
      <w:marLeft w:val="0"/>
      <w:marRight w:val="0"/>
      <w:marTop w:val="0"/>
      <w:marBottom w:val="0"/>
      <w:divBdr>
        <w:top w:val="none" w:sz="0" w:space="0" w:color="auto"/>
        <w:left w:val="none" w:sz="0" w:space="0" w:color="auto"/>
        <w:bottom w:val="none" w:sz="0" w:space="0" w:color="auto"/>
        <w:right w:val="none" w:sz="0" w:space="0" w:color="auto"/>
      </w:divBdr>
    </w:div>
    <w:div w:id="1411192262">
      <w:bodyDiv w:val="1"/>
      <w:marLeft w:val="0"/>
      <w:marRight w:val="0"/>
      <w:marTop w:val="0"/>
      <w:marBottom w:val="0"/>
      <w:divBdr>
        <w:top w:val="none" w:sz="0" w:space="0" w:color="auto"/>
        <w:left w:val="none" w:sz="0" w:space="0" w:color="auto"/>
        <w:bottom w:val="none" w:sz="0" w:space="0" w:color="auto"/>
        <w:right w:val="none" w:sz="0" w:space="0" w:color="auto"/>
      </w:divBdr>
      <w:divsChild>
        <w:div w:id="306014000">
          <w:marLeft w:val="0"/>
          <w:marRight w:val="0"/>
          <w:marTop w:val="0"/>
          <w:marBottom w:val="0"/>
          <w:divBdr>
            <w:top w:val="none" w:sz="0" w:space="0" w:color="auto"/>
            <w:left w:val="none" w:sz="0" w:space="0" w:color="auto"/>
            <w:bottom w:val="none" w:sz="0" w:space="0" w:color="auto"/>
            <w:right w:val="none" w:sz="0" w:space="0" w:color="auto"/>
          </w:divBdr>
          <w:divsChild>
            <w:div w:id="78524580">
              <w:marLeft w:val="0"/>
              <w:marRight w:val="0"/>
              <w:marTop w:val="0"/>
              <w:marBottom w:val="0"/>
              <w:divBdr>
                <w:top w:val="none" w:sz="0" w:space="0" w:color="auto"/>
                <w:left w:val="none" w:sz="0" w:space="0" w:color="auto"/>
                <w:bottom w:val="none" w:sz="0" w:space="0" w:color="auto"/>
                <w:right w:val="none" w:sz="0" w:space="0" w:color="auto"/>
              </w:divBdr>
              <w:divsChild>
                <w:div w:id="653800311">
                  <w:marLeft w:val="0"/>
                  <w:marRight w:val="0"/>
                  <w:marTop w:val="0"/>
                  <w:marBottom w:val="0"/>
                  <w:divBdr>
                    <w:top w:val="none" w:sz="0" w:space="0" w:color="auto"/>
                    <w:left w:val="none" w:sz="0" w:space="0" w:color="auto"/>
                    <w:bottom w:val="none" w:sz="0" w:space="0" w:color="auto"/>
                    <w:right w:val="none" w:sz="0" w:space="0" w:color="auto"/>
                  </w:divBdr>
                  <w:divsChild>
                    <w:div w:id="115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0401">
      <w:bodyDiv w:val="1"/>
      <w:marLeft w:val="0"/>
      <w:marRight w:val="0"/>
      <w:marTop w:val="0"/>
      <w:marBottom w:val="0"/>
      <w:divBdr>
        <w:top w:val="none" w:sz="0" w:space="0" w:color="auto"/>
        <w:left w:val="none" w:sz="0" w:space="0" w:color="auto"/>
        <w:bottom w:val="none" w:sz="0" w:space="0" w:color="auto"/>
        <w:right w:val="none" w:sz="0" w:space="0" w:color="auto"/>
      </w:divBdr>
      <w:divsChild>
        <w:div w:id="828251605">
          <w:marLeft w:val="0"/>
          <w:marRight w:val="0"/>
          <w:marTop w:val="0"/>
          <w:marBottom w:val="0"/>
          <w:divBdr>
            <w:top w:val="none" w:sz="0" w:space="0" w:color="auto"/>
            <w:left w:val="none" w:sz="0" w:space="0" w:color="auto"/>
            <w:bottom w:val="none" w:sz="0" w:space="0" w:color="auto"/>
            <w:right w:val="none" w:sz="0" w:space="0" w:color="auto"/>
          </w:divBdr>
          <w:divsChild>
            <w:div w:id="711539554">
              <w:marLeft w:val="0"/>
              <w:marRight w:val="0"/>
              <w:marTop w:val="0"/>
              <w:marBottom w:val="0"/>
              <w:divBdr>
                <w:top w:val="none" w:sz="0" w:space="0" w:color="auto"/>
                <w:left w:val="none" w:sz="0" w:space="0" w:color="auto"/>
                <w:bottom w:val="none" w:sz="0" w:space="0" w:color="auto"/>
                <w:right w:val="none" w:sz="0" w:space="0" w:color="auto"/>
              </w:divBdr>
              <w:divsChild>
                <w:div w:id="1396246343">
                  <w:marLeft w:val="0"/>
                  <w:marRight w:val="0"/>
                  <w:marTop w:val="0"/>
                  <w:marBottom w:val="0"/>
                  <w:divBdr>
                    <w:top w:val="none" w:sz="0" w:space="0" w:color="auto"/>
                    <w:left w:val="none" w:sz="0" w:space="0" w:color="auto"/>
                    <w:bottom w:val="none" w:sz="0" w:space="0" w:color="auto"/>
                    <w:right w:val="none" w:sz="0" w:space="0" w:color="auto"/>
                  </w:divBdr>
                  <w:divsChild>
                    <w:div w:id="1134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fontTable" Target="fontTable.xml"/><Relationship Id="rId5" Type="http://schemas.openxmlformats.org/officeDocument/2006/relationships/hyperlink" Target="https://www.nidirect.gov.uk/articles/department-economy-studentships" TargetMode="External"/><Relationship Id="rId10" Type="http://schemas.openxmlformats.org/officeDocument/2006/relationships/hyperlink" Target="https://www.qub.ac.uk/schools/SchoolofPharmacy/Research/find-a-phd-supervisor/professor-ryan-donnelly.html" TargetMode="External"/><Relationship Id="rId4" Type="http://schemas.openxmlformats.org/officeDocument/2006/relationships/webSettings" Target="webSettings.xml"/><Relationship Id="rId9" Type="http://schemas.openxmlformats.org/officeDocument/2006/relationships/hyperlink" Target="https://www.qub.ac.uk/schools/SchoolofPharmacy/Research/find-a-phd-supervisor/dr-thakur-raghu-raj-sing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00A8C6-AEC8-9842-8673-A1C71EA43C76}">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43</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Raghu Raj Singh Thakur</cp:lastModifiedBy>
  <cp:revision>9</cp:revision>
  <dcterms:created xsi:type="dcterms:W3CDTF">2020-11-10T13:15:00Z</dcterms:created>
  <dcterms:modified xsi:type="dcterms:W3CDTF">2021-02-24T14:23:00Z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documentId_3319</vt:lpwstr>
  </property>
  <property fmtid="{D5CDD505-2E9C-101B-9397-08002B2CF9AE}" pid="3" name="grammarly_documentContext">
    <vt:lpwstr>{"goals":[],"domain":"general","emotions":[],"dialect":"british"}</vt:lpwstr>
  </property>
</Properties>
</file>