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EE8D" w14:textId="16710FE3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364D3A">
        <w:t>1</w:t>
      </w:r>
      <w:r w:rsidR="00695F66">
        <w:t xml:space="preserve"> entry</w:t>
      </w:r>
    </w:p>
    <w:p w14:paraId="2B345B2F" w14:textId="77777777" w:rsidR="007F3CD9" w:rsidRDefault="007F3CD9"/>
    <w:p w14:paraId="129AEA40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5C195A5C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53AC75B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1A2C6504" w14:textId="77777777" w:rsidR="001976E1" w:rsidRDefault="001976E1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20"/>
      </w:tblGrid>
      <w:tr w:rsidR="007F3CD9" w14:paraId="0E40262D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342C1023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Title of studentship</w:t>
            </w:r>
          </w:p>
        </w:tc>
        <w:tc>
          <w:tcPr>
            <w:tcW w:w="7730" w:type="dxa"/>
          </w:tcPr>
          <w:p w14:paraId="1973E5B6" w14:textId="53BD815F" w:rsidR="007F3CD9" w:rsidRPr="000A3F4B" w:rsidRDefault="000A3F4B" w:rsidP="00211ADC">
            <w:pPr>
              <w:rPr>
                <w:rFonts w:cstheme="minorHAnsi"/>
              </w:rPr>
            </w:pPr>
            <w:r w:rsidRPr="000A3F4B">
              <w:rPr>
                <w:rFonts w:cstheme="minorHAnsi"/>
              </w:rPr>
              <w:t>Novel enzyme inhibitors for chemical biology and drug discovery</w:t>
            </w:r>
          </w:p>
        </w:tc>
      </w:tr>
      <w:tr w:rsidR="007F3CD9" w14:paraId="3766549B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4E054285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 w:rsidR="000F380D">
              <w:rPr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3AD5CEAB" w14:textId="350B101E" w:rsidR="007C3A10" w:rsidRDefault="00364D3A" w:rsidP="00B4262C">
            <w:r>
              <w:t>3</w:t>
            </w:r>
            <w:r w:rsidR="0098039B">
              <w:t>-years (fully funded)</w:t>
            </w:r>
          </w:p>
        </w:tc>
      </w:tr>
      <w:tr w:rsidR="007F3CD9" w14:paraId="15E2680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6BC89A05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30" w:type="dxa"/>
          </w:tcPr>
          <w:p w14:paraId="09C9983F" w14:textId="4BFC9A2B" w:rsidR="007F3CD9" w:rsidRDefault="00394631">
            <w:r>
              <w:t>DfE</w:t>
            </w:r>
          </w:p>
        </w:tc>
      </w:tr>
      <w:tr w:rsidR="007F3CD9" w14:paraId="1AE9910D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29BE9949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30" w:type="dxa"/>
          </w:tcPr>
          <w:p w14:paraId="100B41D7" w14:textId="5977FE7D" w:rsidR="007F3CD9" w:rsidRDefault="00364D3A">
            <w:r>
              <w:t>1</w:t>
            </w:r>
          </w:p>
        </w:tc>
      </w:tr>
      <w:tr w:rsidR="007F3CD9" w14:paraId="52EFB56C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0D6E5F31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 xml:space="preserve">Summary </w:t>
            </w:r>
            <w:r w:rsidR="00270CA4">
              <w:rPr>
                <w:b/>
              </w:rPr>
              <w:t xml:space="preserve">descriptive </w:t>
            </w:r>
            <w:r w:rsidR="007F3CD9" w:rsidRPr="007F3CD9">
              <w:rPr>
                <w:b/>
              </w:rPr>
              <w:t>text</w:t>
            </w:r>
            <w:r w:rsidR="00270CA4">
              <w:rPr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432965F3" w14:textId="77777777" w:rsidR="00B240F3" w:rsidRDefault="00B240F3" w:rsidP="000A3F4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506355B" w14:textId="1A4CA6C3" w:rsidR="00126BF8" w:rsidRDefault="00126BF8" w:rsidP="000A3F4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goal of this project is the development of </w:t>
            </w:r>
            <w:r w:rsidR="00343FD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novel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enzyme inhibitors and molecular tools to understand the role of glycans for chronic </w:t>
            </w:r>
            <w:r w:rsidR="006B60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airways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diseases </w:t>
            </w:r>
            <w:r w:rsidR="00B240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such as COPD (</w:t>
            </w:r>
            <w:r w:rsidR="00EA44A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="00B240F3" w:rsidRPr="007A2F2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hronic obstructive pulmonary disease</w:t>
            </w:r>
            <w:r w:rsidR="00B240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).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 w:rsidR="000564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project will provide </w:t>
            </w:r>
            <w:r w:rsidR="00EA44A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new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insights </w:t>
            </w:r>
            <w:r w:rsidR="000564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into</w:t>
            </w:r>
            <w:r w:rsidR="00597C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molecular basis of COPD and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form the basis for the development of novel therapeutic approaches</w:t>
            </w:r>
            <w:r w:rsidR="000564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which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urgently required.</w:t>
            </w:r>
          </w:p>
          <w:p w14:paraId="6952D788" w14:textId="0B51211A" w:rsidR="00126BF8" w:rsidRDefault="0005649F" w:rsidP="000A3F4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project </w:t>
            </w:r>
            <w:r w:rsidR="00B324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will </w:t>
            </w:r>
            <w:r w:rsidR="00B324B1" w:rsidRPr="00206F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provide </w:t>
            </w:r>
            <w:r w:rsidR="00B324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extensive </w:t>
            </w:r>
            <w:r w:rsidR="00B324B1" w:rsidRPr="007E7F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multidisciplinary</w:t>
            </w:r>
            <w:r w:rsidR="00B324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training at the chemistry/biology interface, including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design and synthesis of small organic molecules</w:t>
            </w:r>
            <w:r w:rsidR="00B324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5649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in vitro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evaluation in biochemical and pharmacological assays. It is ideally suited for a student with a strong background in organic/medicinal chemistry, chemical biology</w:t>
            </w:r>
            <w:r w:rsidR="00597C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a related area, who wants to broaden their skill set in drug design, </w:t>
            </w:r>
            <w:r w:rsidR="00E440B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enzymology, cell biology</w:t>
            </w:r>
            <w:r w:rsidR="00597C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and pharmacology.</w:t>
            </w:r>
          </w:p>
          <w:p w14:paraId="67239170" w14:textId="6A9599DB" w:rsidR="00A97B28" w:rsidRDefault="00EA44A0" w:rsidP="000A3F4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Changes in </w:t>
            </w:r>
            <w:r w:rsidR="00A97B2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complex glycan structures are a characteristic molecular feature of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chronic airways diseases</w:t>
            </w:r>
            <w:r w:rsidR="00A97B2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yet the precise role of these changes for disease progression and severity is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not well understood.</w:t>
            </w:r>
            <w:r w:rsidR="00A97B2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contrast to proteins and nucleic acids, the biosynthesis of complex glycans is controlled not genetically, but by a complex network of biosynthetic enzymes. Inhibitors of these enzymes are therefore ideally suited to study the</w:t>
            </w:r>
            <w:r w:rsidR="009A4D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ir </w:t>
            </w:r>
            <w:r w:rsidR="00A97B2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role</w:t>
            </w:r>
            <w:r w:rsidR="007204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A97B2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those of their biosynthetic products</w:t>
            </w:r>
            <w:r w:rsidR="007204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A97B2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for </w:t>
            </w:r>
            <w:r w:rsidR="009A4D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chronic airways diseases.</w:t>
            </w:r>
          </w:p>
          <w:p w14:paraId="7C02A58D" w14:textId="77777777" w:rsidR="007204C4" w:rsidRDefault="000A3F4B" w:rsidP="00B324B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Wagner group has a long-standing track record in</w:t>
            </w:r>
            <w:r w:rsidR="00952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development of inhibitors for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glycosyltransferase</w:t>
            </w:r>
            <w:r w:rsidR="00952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s, Nature’s glycosylation reagents (e.g., </w:t>
            </w:r>
            <w:hyperlink r:id="rId5" w:history="1"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Nat Chem </w:t>
              </w:r>
              <w:proofErr w:type="spellStart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Biol</w:t>
              </w:r>
              <w:proofErr w:type="spellEnd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2010</w:t>
              </w:r>
            </w:hyperlink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; </w:t>
            </w:r>
            <w:hyperlink r:id="rId6" w:history="1"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J Med Chem 2012</w:t>
              </w:r>
            </w:hyperlink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hyperlink r:id="rId7" w:history="1"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J </w:t>
              </w:r>
              <w:proofErr w:type="spellStart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Biol</w:t>
              </w:r>
              <w:proofErr w:type="spellEnd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Chem 2013</w:t>
              </w:r>
            </w:hyperlink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hyperlink r:id="rId8" w:history="1"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J </w:t>
              </w:r>
              <w:proofErr w:type="spellStart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Biol</w:t>
              </w:r>
              <w:proofErr w:type="spellEnd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Chem 2015</w:t>
              </w:r>
            </w:hyperlink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hyperlink r:id="rId9" w:history="1">
              <w:proofErr w:type="spellStart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Bioorg</w:t>
              </w:r>
              <w:proofErr w:type="spellEnd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Med Chem 2017</w:t>
              </w:r>
            </w:hyperlink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hyperlink r:id="rId10" w:history="1">
              <w:proofErr w:type="spellStart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Bioorg</w:t>
              </w:r>
              <w:proofErr w:type="spellEnd"/>
              <w:r w:rsidRPr="000A3F4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Med Chem 2018</w:t>
              </w:r>
            </w:hyperlink>
            <w:r w:rsidRPr="000A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2806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5E468881" w14:textId="78067733" w:rsidR="007F3CD9" w:rsidRPr="00B324B1" w:rsidRDefault="002806BD" w:rsidP="00B324B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Building on this previous work, you will apply </w:t>
            </w:r>
            <w:r w:rsidR="00952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novel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design concepts to develop glycosyltransferase inhibitors with suitable properties for applications in cell culture and whole organisms. </w:t>
            </w:r>
            <w:r w:rsidR="00952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You will evaluate your inhibitors in relevant </w:t>
            </w:r>
            <w:r w:rsidR="009527F5" w:rsidRPr="00B324B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  <w:t>in vitro</w:t>
            </w:r>
            <w:r w:rsidR="00952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assays and, in collaboration with Prof Lorraine Martin</w:t>
            </w:r>
            <w:r w:rsidR="00B324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(QUB)</w:t>
            </w:r>
            <w:r w:rsidR="00952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use your inhibitors to e</w:t>
            </w:r>
            <w:r w:rsidR="00B324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lucidate</w:t>
            </w:r>
            <w:r w:rsidR="00952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7204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how </w:t>
            </w:r>
            <w:r w:rsidR="009527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changes to glycan structure </w:t>
            </w:r>
            <w:r w:rsidR="007204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drive </w:t>
            </w:r>
            <w:r w:rsidR="009B01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phenotypic changes relevant to </w:t>
            </w:r>
            <w:r w:rsidR="00B324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chronic airways diseases.</w:t>
            </w:r>
          </w:p>
        </w:tc>
      </w:tr>
      <w:tr w:rsidR="00695F66" w14:paraId="69A9B0F0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510FD40A" w14:textId="77777777" w:rsidR="00695F66" w:rsidRDefault="000F6B4D">
            <w:pPr>
              <w:rPr>
                <w:b/>
              </w:rPr>
            </w:pPr>
            <w:r>
              <w:rPr>
                <w:b/>
              </w:rPr>
              <w:lastRenderedPageBreak/>
              <w:t>*Supervisor(s)</w:t>
            </w:r>
          </w:p>
        </w:tc>
        <w:tc>
          <w:tcPr>
            <w:tcW w:w="7730" w:type="dxa"/>
          </w:tcPr>
          <w:p w14:paraId="67465B5F" w14:textId="55962E8A" w:rsidR="00B4262C" w:rsidRPr="002963E1" w:rsidRDefault="0098039B" w:rsidP="00B4262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Professor Gerd Wagner</w:t>
            </w:r>
            <w:r w:rsidR="00B324B1">
              <w:rPr>
                <w:rFonts w:ascii="Calibri" w:eastAsia="Calibri" w:hAnsi="Calibri"/>
              </w:rPr>
              <w:t>, Professor Lorraine Martin</w:t>
            </w:r>
          </w:p>
          <w:p w14:paraId="112C4041" w14:textId="77777777" w:rsidR="002963E1" w:rsidRPr="002963E1" w:rsidRDefault="002963E1">
            <w:pPr>
              <w:rPr>
                <w:rFonts w:ascii="Calibri" w:eastAsia="Calibri" w:hAnsi="Calibri"/>
              </w:rPr>
            </w:pPr>
          </w:p>
        </w:tc>
      </w:tr>
      <w:tr w:rsidR="007F3CD9" w14:paraId="7C3408A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2DF5D14A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1B792D">
              <w:rPr>
                <w:b/>
              </w:rPr>
              <w:t xml:space="preserve">Eligibility / residence </w:t>
            </w:r>
            <w:r w:rsidR="007F3CD9">
              <w:rPr>
                <w:b/>
              </w:rPr>
              <w:t>Status</w:t>
            </w:r>
          </w:p>
        </w:tc>
        <w:tc>
          <w:tcPr>
            <w:tcW w:w="7730" w:type="dxa"/>
          </w:tcPr>
          <w:p w14:paraId="4A6ABF27" w14:textId="23B219FC" w:rsidR="007F3CD9" w:rsidRPr="007F3CD9" w:rsidRDefault="00FB30F4">
            <w:r>
              <w:t>UK/EU</w:t>
            </w:r>
          </w:p>
        </w:tc>
      </w:tr>
      <w:tr w:rsidR="007F3CD9" w14:paraId="3C146321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733C74BC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30" w:type="dxa"/>
          </w:tcPr>
          <w:p w14:paraId="7157458F" w14:textId="77777777" w:rsidR="007F3CD9" w:rsidRDefault="007C3A10">
            <w:r>
              <w:t>Northern Ireland</w:t>
            </w:r>
          </w:p>
        </w:tc>
      </w:tr>
      <w:tr w:rsidR="007F3CD9" w14:paraId="60EA7ABC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752BBD48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2A095A42" w14:textId="758EE8D1" w:rsidR="007F3CD9" w:rsidRPr="002059CD" w:rsidRDefault="00B4262C" w:rsidP="007F3CD9">
            <w:pPr>
              <w:rPr>
                <w:color w:val="000000" w:themeColor="text1"/>
              </w:rPr>
            </w:pPr>
            <w:r w:rsidRPr="002059CD">
              <w:rPr>
                <w:color w:val="000000" w:themeColor="text1"/>
              </w:rPr>
              <w:t xml:space="preserve">1 </w:t>
            </w:r>
            <w:r w:rsidR="00364D3A">
              <w:rPr>
                <w:color w:val="000000" w:themeColor="text1"/>
              </w:rPr>
              <w:t>October</w:t>
            </w:r>
            <w:r w:rsidR="0098039B" w:rsidRPr="002059CD">
              <w:rPr>
                <w:color w:val="000000" w:themeColor="text1"/>
              </w:rPr>
              <w:t xml:space="preserve"> </w:t>
            </w:r>
            <w:r w:rsidRPr="002059CD">
              <w:rPr>
                <w:color w:val="000000" w:themeColor="text1"/>
              </w:rPr>
              <w:t>202</w:t>
            </w:r>
            <w:r w:rsidR="00364D3A">
              <w:rPr>
                <w:color w:val="000000" w:themeColor="text1"/>
              </w:rPr>
              <w:t>1</w:t>
            </w:r>
          </w:p>
          <w:p w14:paraId="43D86D6B" w14:textId="77777777" w:rsidR="007F3CD9" w:rsidRPr="00FB30F4" w:rsidRDefault="007F3CD9" w:rsidP="003A76E9"/>
        </w:tc>
      </w:tr>
      <w:tr w:rsidR="007F3CD9" w14:paraId="3F89C385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E736879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Faculty</w:t>
            </w:r>
          </w:p>
        </w:tc>
        <w:tc>
          <w:tcPr>
            <w:tcW w:w="7730" w:type="dxa"/>
          </w:tcPr>
          <w:p w14:paraId="4C7BAC31" w14:textId="77777777" w:rsidR="007F3CD9" w:rsidRDefault="007C3A10">
            <w:r>
              <w:t>MHLS</w:t>
            </w:r>
          </w:p>
        </w:tc>
      </w:tr>
      <w:tr w:rsidR="007F3CD9" w14:paraId="34BD3B03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31E987D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Research centre / School</w:t>
            </w:r>
          </w:p>
        </w:tc>
        <w:tc>
          <w:tcPr>
            <w:tcW w:w="7730" w:type="dxa"/>
          </w:tcPr>
          <w:p w14:paraId="67CCBEB6" w14:textId="77777777" w:rsidR="007F3CD9" w:rsidRDefault="007C3A10">
            <w:r>
              <w:t>Pharmacy</w:t>
            </w:r>
          </w:p>
        </w:tc>
      </w:tr>
      <w:tr w:rsidR="001B792D" w14:paraId="07396A5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A8DB555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30" w:type="dxa"/>
          </w:tcPr>
          <w:p w14:paraId="09727684" w14:textId="0F75EDCA" w:rsidR="001B792D" w:rsidRDefault="00FB30F4">
            <w:r>
              <w:t>Chemistry, Medicinal Chemistry, Organic Chemistry, Chemical Biology, Pharmacy, Pharmaceutical Sciences</w:t>
            </w:r>
          </w:p>
        </w:tc>
      </w:tr>
      <w:tr w:rsidR="007F3CD9" w14:paraId="27DFB4E6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40B24568" w14:textId="77777777" w:rsidR="007F3CD9" w:rsidRDefault="001B792D">
            <w:pPr>
              <w:rPr>
                <w:b/>
              </w:rPr>
            </w:pPr>
            <w:r>
              <w:rPr>
                <w:b/>
              </w:rPr>
              <w:t>Candidate requirements / K</w:t>
            </w:r>
            <w:r w:rsidR="00695F66">
              <w:rPr>
                <w:b/>
              </w:rPr>
              <w:t xml:space="preserve">ey skills required for the post </w:t>
            </w:r>
          </w:p>
          <w:p w14:paraId="121D7589" w14:textId="77777777" w:rsidR="00695F66" w:rsidRPr="007F3CD9" w:rsidRDefault="00695F66">
            <w:pPr>
              <w:rPr>
                <w:b/>
              </w:rPr>
            </w:pPr>
          </w:p>
        </w:tc>
        <w:tc>
          <w:tcPr>
            <w:tcW w:w="7730" w:type="dxa"/>
          </w:tcPr>
          <w:p w14:paraId="6E265D4C" w14:textId="4891E14C" w:rsidR="007F3CD9" w:rsidRDefault="007C3A10">
            <w:pPr>
              <w:rPr>
                <w:rFonts w:cs="Arial"/>
              </w:rPr>
            </w:pPr>
            <w:r w:rsidRPr="007C3A10">
              <w:rPr>
                <w:rFonts w:cs="Arial"/>
              </w:rPr>
              <w:t xml:space="preserve">Applicants should have a 1st or 2.1 honours degree (or equivalent) in a relevant subject. Relevant subjects include </w:t>
            </w:r>
            <w:r w:rsidR="00421CDB">
              <w:rPr>
                <w:rFonts w:cs="Arial"/>
              </w:rPr>
              <w:t xml:space="preserve">Chemistry, </w:t>
            </w:r>
            <w:r w:rsidR="00B324B1">
              <w:rPr>
                <w:rFonts w:cs="Arial"/>
              </w:rPr>
              <w:t xml:space="preserve">Chemical Biology, </w:t>
            </w:r>
            <w:r w:rsidRPr="007C3A10">
              <w:rPr>
                <w:rFonts w:cs="Arial"/>
              </w:rPr>
              <w:t>Pharmacy, Pharmaceutical Sciences, Biochemistry, Biological/Biomedical Sciences,</w:t>
            </w:r>
            <w:r w:rsidR="002F06D8"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Engineering</w:t>
            </w:r>
            <w:r w:rsidR="00E41AE4"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 xml:space="preserve">a closely related discipline. Students who have a 2.2 honours degree and a </w:t>
            </w:r>
            <w:proofErr w:type="gramStart"/>
            <w:r w:rsidRPr="007C3A10">
              <w:rPr>
                <w:rFonts w:cs="Arial"/>
              </w:rPr>
              <w:t>Masters</w:t>
            </w:r>
            <w:proofErr w:type="gramEnd"/>
            <w:r w:rsidRPr="007C3A10">
              <w:rPr>
                <w:rFonts w:cs="Arial"/>
              </w:rPr>
              <w:t xml:space="preserve"> degree may also be considered, but the School reserves the right to shortlist for interview only those applicants who have demonstrated high academic attainment to date</w:t>
            </w:r>
            <w:r w:rsidR="00B324B1">
              <w:rPr>
                <w:rFonts w:cs="Arial"/>
              </w:rPr>
              <w:t>.</w:t>
            </w:r>
          </w:p>
          <w:p w14:paraId="0F32B894" w14:textId="2AEF93C9" w:rsidR="00B324B1" w:rsidRPr="007C3A10" w:rsidRDefault="00B324B1" w:rsidP="00B324B1"/>
        </w:tc>
      </w:tr>
      <w:tr w:rsidR="007F3CD9" w14:paraId="3D141E0D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4C2B98B2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Deadline for applications</w:t>
            </w:r>
          </w:p>
        </w:tc>
        <w:tc>
          <w:tcPr>
            <w:tcW w:w="7730" w:type="dxa"/>
          </w:tcPr>
          <w:p w14:paraId="504084E2" w14:textId="77777777" w:rsidR="007F3CD9" w:rsidRDefault="00126BF8">
            <w:pPr>
              <w:rPr>
                <w:color w:val="000000" w:themeColor="text1"/>
              </w:rPr>
            </w:pPr>
            <w:r w:rsidRPr="00126BF8">
              <w:rPr>
                <w:color w:val="000000" w:themeColor="text1"/>
              </w:rPr>
              <w:t>14 June 2021</w:t>
            </w:r>
          </w:p>
          <w:p w14:paraId="0A41104C" w14:textId="3A86046D" w:rsidR="00CB5BBD" w:rsidRDefault="00CB5B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Interviews are expected to take place w/c 21 June.</w:t>
            </w:r>
          </w:p>
          <w:p w14:paraId="3F8DC6E5" w14:textId="5636AABE" w:rsidR="00CB5BBD" w:rsidRDefault="00CB5BBD"/>
        </w:tc>
      </w:tr>
      <w:tr w:rsidR="007F3CD9" w14:paraId="298C8425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47D1B0EA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How to apply / contacts</w:t>
            </w:r>
          </w:p>
        </w:tc>
        <w:tc>
          <w:tcPr>
            <w:tcW w:w="7730" w:type="dxa"/>
          </w:tcPr>
          <w:p w14:paraId="527CD2D4" w14:textId="0274446B" w:rsidR="007F3CD9" w:rsidRDefault="00B324B1">
            <w:r>
              <w:t xml:space="preserve">Applications must be submitted electronically via the </w:t>
            </w:r>
            <w:r w:rsidR="007F3CD9" w:rsidRPr="007F3CD9">
              <w:t>Queen’s Direct Applications Portal</w:t>
            </w:r>
            <w:r w:rsidR="00542B51">
              <w:t>,</w:t>
            </w:r>
            <w:r w:rsidR="007F3CD9" w:rsidRPr="007F3CD9">
              <w:t xml:space="preserve"> </w:t>
            </w:r>
            <w:r>
              <w:t xml:space="preserve">including ALL </w:t>
            </w:r>
            <w:r w:rsidR="007F3CD9" w:rsidRPr="007F3CD9">
              <w:t>required supporting documents</w:t>
            </w:r>
            <w:r w:rsidR="00542B51">
              <w:t>,</w:t>
            </w:r>
            <w:r w:rsidR="00542B51" w:rsidRPr="007F3CD9">
              <w:t xml:space="preserve"> by the closing date</w:t>
            </w:r>
            <w:r w:rsidR="007F3CD9" w:rsidRPr="007F3CD9">
              <w:t>.</w:t>
            </w:r>
          </w:p>
          <w:p w14:paraId="19B0F658" w14:textId="77777777" w:rsidR="007F3CD9" w:rsidRDefault="007F3CD9"/>
          <w:p w14:paraId="4F34142D" w14:textId="77777777" w:rsidR="007F3CD9" w:rsidRDefault="00CB5BBD">
            <w:hyperlink r:id="rId11" w:history="1">
              <w:r w:rsidR="007F3CD9" w:rsidRPr="00920649">
                <w:rPr>
                  <w:rStyle w:val="Hyperlink"/>
                </w:rPr>
                <w:t>https://dap.qub.ac.uk/portal/user/u_login.php</w:t>
              </w:r>
            </w:hyperlink>
            <w:r w:rsidR="007F3CD9">
              <w:t xml:space="preserve"> </w:t>
            </w:r>
            <w:r w:rsidR="007F3CD9">
              <w:br/>
            </w:r>
          </w:p>
          <w:p w14:paraId="67365CF2" w14:textId="52B72D8A" w:rsidR="00071418" w:rsidRDefault="00071418">
            <w:r>
              <w:t xml:space="preserve">Informal enquiries should be directed to </w:t>
            </w:r>
            <w:hyperlink r:id="rId12" w:history="1">
              <w:r w:rsidRPr="00081D18">
                <w:rPr>
                  <w:rStyle w:val="Hyperlink"/>
                </w:rPr>
                <w:t>g.wagner@qub.ac.uk</w:t>
              </w:r>
            </w:hyperlink>
          </w:p>
          <w:p w14:paraId="30A68B71" w14:textId="77777777" w:rsidR="00071418" w:rsidRDefault="00071418"/>
          <w:p w14:paraId="3B7A99DD" w14:textId="107823D0" w:rsidR="00071418" w:rsidRDefault="00071418">
            <w:r>
              <w:t>The title of the studentship should be referenced in all c</w:t>
            </w:r>
            <w:r w:rsidR="007204C4">
              <w:t>orrespondence</w:t>
            </w:r>
            <w:r>
              <w:t>.</w:t>
            </w:r>
          </w:p>
          <w:p w14:paraId="34E753F4" w14:textId="00403D41" w:rsidR="00071418" w:rsidRDefault="00071418"/>
        </w:tc>
      </w:tr>
      <w:tr w:rsidR="007F3CD9" w14:paraId="2D75A840" w14:textId="77777777" w:rsidTr="00D447B1">
        <w:trPr>
          <w:trHeight w:val="1408"/>
        </w:trPr>
        <w:tc>
          <w:tcPr>
            <w:tcW w:w="1512" w:type="dxa"/>
            <w:shd w:val="clear" w:color="auto" w:fill="DEEAF6" w:themeFill="accent1" w:themeFillTint="33"/>
          </w:tcPr>
          <w:p w14:paraId="0EB64461" w14:textId="77777777" w:rsidR="007F3CD9" w:rsidRPr="007F3CD9" w:rsidRDefault="007F3CD9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 w:rsidR="001B792D">
              <w:rPr>
                <w:b/>
              </w:rPr>
              <w:t xml:space="preserve">/ more information </w:t>
            </w:r>
          </w:p>
          <w:p w14:paraId="0169F4EA" w14:textId="77777777" w:rsidR="007F3CD9" w:rsidRDefault="007F3CD9"/>
        </w:tc>
        <w:tc>
          <w:tcPr>
            <w:tcW w:w="7730" w:type="dxa"/>
          </w:tcPr>
          <w:p w14:paraId="722AA9BF" w14:textId="0B2CAE54" w:rsidR="007204C4" w:rsidRDefault="00CB5BBD" w:rsidP="00916B56">
            <w:pPr>
              <w:rPr>
                <w:rStyle w:val="Hyperlink"/>
              </w:rPr>
            </w:pPr>
            <w:hyperlink r:id="rId13" w:history="1">
              <w:r w:rsidR="00916B56" w:rsidRPr="00117BA9">
                <w:rPr>
                  <w:rStyle w:val="Hyperlink"/>
                </w:rPr>
                <w:t>https://www.qub.ac.uk/schools/SchoolofPharmacy/Research/find-a-phd-supervisor/dr-gerd-wagner.html</w:t>
              </w:r>
            </w:hyperlink>
          </w:p>
          <w:p w14:paraId="4C288742" w14:textId="454FB0B3" w:rsidR="007204C4" w:rsidRPr="007204C4" w:rsidRDefault="007204C4" w:rsidP="00916B56">
            <w:pPr>
              <w:rPr>
                <w:color w:val="0563C1" w:themeColor="hyperlink"/>
                <w:u w:val="single"/>
              </w:rPr>
            </w:pPr>
            <w:r w:rsidRPr="007204C4">
              <w:rPr>
                <w:color w:val="0563C1" w:themeColor="hyperlink"/>
                <w:u w:val="single"/>
              </w:rPr>
              <w:t>https://www.qub.ac.uk/schools/SchoolofPharmacy/Research/find-a-phd-supervisor/professor-lorraine-martin.html</w:t>
            </w:r>
          </w:p>
          <w:p w14:paraId="76F25E0D" w14:textId="1954B968" w:rsidR="007C3A10" w:rsidRDefault="00CB5BBD">
            <w:pPr>
              <w:rPr>
                <w:rStyle w:val="Hyperlink"/>
              </w:rPr>
            </w:pPr>
            <w:hyperlink r:id="rId14" w:history="1">
              <w:r w:rsidR="00916B56" w:rsidRPr="00C9116B">
                <w:rPr>
                  <w:rStyle w:val="Hyperlink"/>
                </w:rPr>
                <w:t>http://www.qub.ac.uk/schools/SchoolofPharmacy/Research/</w:t>
              </w:r>
            </w:hyperlink>
          </w:p>
          <w:p w14:paraId="384440C5" w14:textId="77777777" w:rsidR="007C3A10" w:rsidRDefault="007C3A10"/>
        </w:tc>
      </w:tr>
      <w:tr w:rsidR="001B792D" w14:paraId="65E7908E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5C45B32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30" w:type="dxa"/>
          </w:tcPr>
          <w:p w14:paraId="28EB4CA1" w14:textId="43CDAA78" w:rsidR="001B792D" w:rsidRDefault="00542B51" w:rsidP="00A70333">
            <w:pPr>
              <w:jc w:val="both"/>
            </w:pPr>
            <w:r>
              <w:t xml:space="preserve">drug discovery, chemical biology, </w:t>
            </w:r>
            <w:r w:rsidR="007A57D1">
              <w:t xml:space="preserve">organic synthesis, medicinal chemistry, </w:t>
            </w:r>
            <w:r w:rsidR="00364D3A">
              <w:t>carbohydrate chemistry, glycobiology</w:t>
            </w:r>
            <w:r w:rsidR="007A57D1">
              <w:t xml:space="preserve">, </w:t>
            </w:r>
            <w:r w:rsidR="00364D3A">
              <w:t xml:space="preserve">glycosyltransferase, </w:t>
            </w:r>
            <w:r w:rsidR="007A57D1">
              <w:t>multidisciplinary</w:t>
            </w:r>
          </w:p>
        </w:tc>
      </w:tr>
      <w:tr w:rsidR="001B792D" w14:paraId="1A6CABA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A19024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1A5E7591" w14:textId="2EB1748B" w:rsidR="00071418" w:rsidRDefault="00542B51" w:rsidP="00916B5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The s</w:t>
            </w:r>
            <w:r w:rsidR="00206F8D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tudent will receive in-depth training in a broad range of </w:t>
            </w:r>
            <w:r w:rsidR="007204C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experimental</w:t>
            </w:r>
            <w:r w:rsidR="00206F8D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techniques</w:t>
            </w:r>
            <w:r w:rsidR="00364D3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in 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medicinal chemistry and </w:t>
            </w:r>
            <w:r w:rsidR="00364D3A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chemical biology</w:t>
            </w:r>
            <w:r w:rsidR="00206F8D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, including 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rational inhibitor design, </w:t>
            </w:r>
            <w:r w:rsidR="001D4BA3" w:rsidRPr="0021458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advanced organic synthesis, 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protein biochemistry, </w:t>
            </w:r>
            <w:r w:rsidR="00694F1B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and </w:t>
            </w:r>
            <w:r w:rsidR="00694F1B" w:rsidRPr="00694F1B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GB"/>
              </w:rPr>
              <w:t>in vitro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assay</w:t>
            </w:r>
            <w:r w:rsidR="00694F1B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s.</w:t>
            </w:r>
            <w:r w:rsidR="00916B56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r w:rsidR="00694F1B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He/she will be </w:t>
            </w:r>
            <w:r w:rsidR="0007141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primarily </w:t>
            </w:r>
            <w:r w:rsidR="00694F1B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based in the John King Laboratory in the School of Pharmacy at QUB</w:t>
            </w:r>
            <w:r w:rsidR="0007141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, but also </w:t>
            </w:r>
            <w:r w:rsidR="00694F1B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have the opportunity to experience </w:t>
            </w:r>
            <w:r w:rsidR="00694F1B"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different research environments</w:t>
            </w:r>
            <w:r w:rsidR="00694F1B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through collaboration with the group of Prof Lorraine Martin and external partners.</w:t>
            </w:r>
          </w:p>
          <w:p w14:paraId="7423BF3E" w14:textId="487BE57A" w:rsidR="001D4BA3" w:rsidRPr="00214581" w:rsidRDefault="00694F1B" w:rsidP="00916B5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120"/>
              <w:jc w:val="both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lastRenderedPageBreak/>
              <w:t xml:space="preserve">The project </w:t>
            </w:r>
            <w:r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will </w:t>
            </w:r>
            <w:r w:rsidRPr="0021458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also </w:t>
            </w:r>
            <w:r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provide an ideal opportunity to acquire transferable and generic skills </w:t>
            </w:r>
            <w:r w:rsidR="0007141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in</w:t>
            </w:r>
            <w:r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time</w:t>
            </w:r>
            <w:r w:rsidR="007204C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and </w:t>
            </w:r>
            <w:r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project management</w:t>
            </w:r>
            <w:r w:rsidR="0007141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,</w:t>
            </w:r>
            <w:r w:rsidRPr="00206F8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r w:rsidR="00071418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science outreach, and knowledge transfer and </w:t>
            </w:r>
            <w:proofErr w:type="spellStart"/>
            <w:r w:rsidRPr="00206F8D">
              <w:rPr>
                <w:rFonts w:ascii="Calibri" w:hAnsi="Calibri" w:cs="Calibri"/>
                <w:bCs/>
                <w:sz w:val="22"/>
                <w:szCs w:val="22"/>
              </w:rPr>
              <w:t>commerciali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206F8D">
              <w:rPr>
                <w:rFonts w:ascii="Calibri" w:hAnsi="Calibri" w:cs="Calibri"/>
                <w:bCs/>
                <w:sz w:val="22"/>
                <w:szCs w:val="22"/>
              </w:rPr>
              <w:t>ation</w:t>
            </w:r>
            <w:proofErr w:type="spellEnd"/>
            <w:r w:rsidRPr="00206F8D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1B792D" w14:paraId="3C419472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6010DF0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lastRenderedPageBreak/>
              <w:t>Expected impact activities</w:t>
            </w:r>
          </w:p>
        </w:tc>
        <w:tc>
          <w:tcPr>
            <w:tcW w:w="7730" w:type="dxa"/>
          </w:tcPr>
          <w:p w14:paraId="018090D9" w14:textId="4EF75263" w:rsidR="00214581" w:rsidRPr="00A70333" w:rsidRDefault="00916B56" w:rsidP="00A70333">
            <w:pPr>
              <w:pStyle w:val="Header"/>
              <w:tabs>
                <w:tab w:val="clear" w:pos="4153"/>
                <w:tab w:val="clear" w:pos="8306"/>
                <w:tab w:val="left" w:pos="62"/>
                <w:tab w:val="left" w:pos="488"/>
              </w:tabs>
              <w:spacing w:after="120"/>
              <w:ind w:right="-13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It is anticipated that inhibitors developed in this project will create opportunities for </w:t>
            </w:r>
            <w:r w:rsidR="00A70333">
              <w:rPr>
                <w:rFonts w:ascii="Calibri" w:hAnsi="Calibri" w:cs="Calibri"/>
                <w:bCs/>
                <w:sz w:val="22"/>
                <w:szCs w:val="22"/>
              </w:rPr>
              <w:t xml:space="preserve">knowledge transfer, translation, and commercialisation in the areas of </w:t>
            </w:r>
            <w:r w:rsidR="00071418">
              <w:rPr>
                <w:rFonts w:ascii="Calibri" w:hAnsi="Calibri" w:cs="Calibri"/>
                <w:bCs/>
                <w:sz w:val="22"/>
                <w:szCs w:val="22"/>
              </w:rPr>
              <w:t xml:space="preserve">drug development for chronic airways diseases. </w:t>
            </w:r>
            <w:r w:rsidR="00A70333">
              <w:rPr>
                <w:rFonts w:ascii="Calibri" w:hAnsi="Calibri" w:cs="Calibri"/>
                <w:bCs/>
                <w:sz w:val="22"/>
                <w:szCs w:val="22"/>
              </w:rPr>
              <w:t>The project w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ill also offer an opportunity </w:t>
            </w:r>
            <w:r w:rsidR="00A70333">
              <w:rPr>
                <w:rFonts w:ascii="Calibri" w:hAnsi="Calibri" w:cs="Calibri"/>
                <w:bCs/>
                <w:sz w:val="22"/>
                <w:szCs w:val="22"/>
              </w:rPr>
              <w:t xml:space="preserve">for the student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contribute to </w:t>
            </w:r>
            <w:r w:rsidR="00A70333">
              <w:rPr>
                <w:rFonts w:ascii="Calibri" w:hAnsi="Calibri" w:cs="Calibri"/>
                <w:bCs/>
                <w:sz w:val="22"/>
                <w:szCs w:val="22"/>
              </w:rPr>
              <w:t xml:space="preserve">a range of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outreach activities such as the regular delivery of science workshops for school children and lay audiences.</w:t>
            </w:r>
          </w:p>
        </w:tc>
      </w:tr>
    </w:tbl>
    <w:p w14:paraId="3AE8BB6C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63218"/>
    <w:multiLevelType w:val="hybridMultilevel"/>
    <w:tmpl w:val="3054767A"/>
    <w:lvl w:ilvl="0" w:tplc="CF2A0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5A1"/>
    <w:multiLevelType w:val="hybridMultilevel"/>
    <w:tmpl w:val="8480B6FA"/>
    <w:lvl w:ilvl="0" w:tplc="DAE08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140E0"/>
    <w:rsid w:val="00017B3A"/>
    <w:rsid w:val="000211E7"/>
    <w:rsid w:val="00036AC1"/>
    <w:rsid w:val="0005649F"/>
    <w:rsid w:val="0006730B"/>
    <w:rsid w:val="00071418"/>
    <w:rsid w:val="00074FC2"/>
    <w:rsid w:val="00076683"/>
    <w:rsid w:val="0008106D"/>
    <w:rsid w:val="00087903"/>
    <w:rsid w:val="00093ED6"/>
    <w:rsid w:val="000976C2"/>
    <w:rsid w:val="000A3F4B"/>
    <w:rsid w:val="000B5232"/>
    <w:rsid w:val="000B5533"/>
    <w:rsid w:val="000C6238"/>
    <w:rsid w:val="000C6EFC"/>
    <w:rsid w:val="000D526E"/>
    <w:rsid w:val="000F0B0E"/>
    <w:rsid w:val="000F380D"/>
    <w:rsid w:val="000F550F"/>
    <w:rsid w:val="000F6B4D"/>
    <w:rsid w:val="000F6C8E"/>
    <w:rsid w:val="00100C14"/>
    <w:rsid w:val="00114809"/>
    <w:rsid w:val="001215F1"/>
    <w:rsid w:val="00125BB4"/>
    <w:rsid w:val="00126BF8"/>
    <w:rsid w:val="00127B6D"/>
    <w:rsid w:val="0013226E"/>
    <w:rsid w:val="00136716"/>
    <w:rsid w:val="00136A7C"/>
    <w:rsid w:val="0014119A"/>
    <w:rsid w:val="00147201"/>
    <w:rsid w:val="00152845"/>
    <w:rsid w:val="00152DAA"/>
    <w:rsid w:val="00152DD3"/>
    <w:rsid w:val="001541D5"/>
    <w:rsid w:val="00157E70"/>
    <w:rsid w:val="001757EF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5F12"/>
    <w:rsid w:val="001C6CFE"/>
    <w:rsid w:val="001D4BA3"/>
    <w:rsid w:val="001D5A77"/>
    <w:rsid w:val="001E0C79"/>
    <w:rsid w:val="001E10DB"/>
    <w:rsid w:val="001E6AE7"/>
    <w:rsid w:val="001F273F"/>
    <w:rsid w:val="001F700A"/>
    <w:rsid w:val="0020192E"/>
    <w:rsid w:val="002059CD"/>
    <w:rsid w:val="0020699C"/>
    <w:rsid w:val="00206F8D"/>
    <w:rsid w:val="00211ADC"/>
    <w:rsid w:val="00214581"/>
    <w:rsid w:val="0023305E"/>
    <w:rsid w:val="00234A97"/>
    <w:rsid w:val="002438AA"/>
    <w:rsid w:val="0024565D"/>
    <w:rsid w:val="002663D0"/>
    <w:rsid w:val="002679A5"/>
    <w:rsid w:val="00270CA4"/>
    <w:rsid w:val="00275E36"/>
    <w:rsid w:val="00276A24"/>
    <w:rsid w:val="002806BD"/>
    <w:rsid w:val="00286380"/>
    <w:rsid w:val="00287196"/>
    <w:rsid w:val="002963E1"/>
    <w:rsid w:val="002A0180"/>
    <w:rsid w:val="002A22B2"/>
    <w:rsid w:val="002A6F4F"/>
    <w:rsid w:val="002B644E"/>
    <w:rsid w:val="002B6455"/>
    <w:rsid w:val="002D5A44"/>
    <w:rsid w:val="002E0374"/>
    <w:rsid w:val="002E0A1B"/>
    <w:rsid w:val="002E6701"/>
    <w:rsid w:val="002F06D8"/>
    <w:rsid w:val="002F38B4"/>
    <w:rsid w:val="002F3D8F"/>
    <w:rsid w:val="00300B77"/>
    <w:rsid w:val="00303DAB"/>
    <w:rsid w:val="00312241"/>
    <w:rsid w:val="00315F1B"/>
    <w:rsid w:val="00322E90"/>
    <w:rsid w:val="0034159F"/>
    <w:rsid w:val="003418CF"/>
    <w:rsid w:val="00342E0B"/>
    <w:rsid w:val="003437FB"/>
    <w:rsid w:val="00343FD3"/>
    <w:rsid w:val="00346EA7"/>
    <w:rsid w:val="00347872"/>
    <w:rsid w:val="00353B81"/>
    <w:rsid w:val="00364D3A"/>
    <w:rsid w:val="0037391E"/>
    <w:rsid w:val="00374800"/>
    <w:rsid w:val="00375356"/>
    <w:rsid w:val="00381594"/>
    <w:rsid w:val="003862E4"/>
    <w:rsid w:val="00394631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21CDB"/>
    <w:rsid w:val="004242F1"/>
    <w:rsid w:val="0043514D"/>
    <w:rsid w:val="00437BE9"/>
    <w:rsid w:val="00452039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14B9"/>
    <w:rsid w:val="00527250"/>
    <w:rsid w:val="0053253B"/>
    <w:rsid w:val="0053628D"/>
    <w:rsid w:val="00541A46"/>
    <w:rsid w:val="00542B51"/>
    <w:rsid w:val="00550AAE"/>
    <w:rsid w:val="00553AB1"/>
    <w:rsid w:val="00567EBE"/>
    <w:rsid w:val="00576E8A"/>
    <w:rsid w:val="0058648B"/>
    <w:rsid w:val="00590594"/>
    <w:rsid w:val="00597C5E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02396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4F1B"/>
    <w:rsid w:val="00695F66"/>
    <w:rsid w:val="006977CC"/>
    <w:rsid w:val="006B2D8B"/>
    <w:rsid w:val="006B5E92"/>
    <w:rsid w:val="006B60F8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4C4"/>
    <w:rsid w:val="00720F2B"/>
    <w:rsid w:val="00727F85"/>
    <w:rsid w:val="00731D87"/>
    <w:rsid w:val="007347D4"/>
    <w:rsid w:val="00755011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975BD"/>
    <w:rsid w:val="007A2F2D"/>
    <w:rsid w:val="007A57D1"/>
    <w:rsid w:val="007B185B"/>
    <w:rsid w:val="007B1FB4"/>
    <w:rsid w:val="007B2C32"/>
    <w:rsid w:val="007B515E"/>
    <w:rsid w:val="007B5CF8"/>
    <w:rsid w:val="007B6E4A"/>
    <w:rsid w:val="007C02AF"/>
    <w:rsid w:val="007C3A10"/>
    <w:rsid w:val="007D2A36"/>
    <w:rsid w:val="007E0D0E"/>
    <w:rsid w:val="007E6E7C"/>
    <w:rsid w:val="007E7F5A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42066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16B56"/>
    <w:rsid w:val="00925FA3"/>
    <w:rsid w:val="009279B9"/>
    <w:rsid w:val="009453CE"/>
    <w:rsid w:val="009527F5"/>
    <w:rsid w:val="0095334C"/>
    <w:rsid w:val="00956BE2"/>
    <w:rsid w:val="00957551"/>
    <w:rsid w:val="00960566"/>
    <w:rsid w:val="0098039B"/>
    <w:rsid w:val="00981E1C"/>
    <w:rsid w:val="00982267"/>
    <w:rsid w:val="00982CC7"/>
    <w:rsid w:val="00991636"/>
    <w:rsid w:val="00993573"/>
    <w:rsid w:val="00996932"/>
    <w:rsid w:val="009A4DBC"/>
    <w:rsid w:val="009B0120"/>
    <w:rsid w:val="009B03F1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0333"/>
    <w:rsid w:val="00A768A4"/>
    <w:rsid w:val="00A80663"/>
    <w:rsid w:val="00A907D7"/>
    <w:rsid w:val="00A90948"/>
    <w:rsid w:val="00A946F0"/>
    <w:rsid w:val="00A97B28"/>
    <w:rsid w:val="00AA53C1"/>
    <w:rsid w:val="00AB4CB5"/>
    <w:rsid w:val="00AB5910"/>
    <w:rsid w:val="00AB72A5"/>
    <w:rsid w:val="00AB76CD"/>
    <w:rsid w:val="00AB7BF5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40F3"/>
    <w:rsid w:val="00B27846"/>
    <w:rsid w:val="00B324B1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C2944"/>
    <w:rsid w:val="00BE346B"/>
    <w:rsid w:val="00BF08BD"/>
    <w:rsid w:val="00BF17EC"/>
    <w:rsid w:val="00BF4B26"/>
    <w:rsid w:val="00BF57DC"/>
    <w:rsid w:val="00C12418"/>
    <w:rsid w:val="00C2183A"/>
    <w:rsid w:val="00C263B0"/>
    <w:rsid w:val="00C26FCD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B5BBD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447B1"/>
    <w:rsid w:val="00D5030D"/>
    <w:rsid w:val="00D5690F"/>
    <w:rsid w:val="00D57854"/>
    <w:rsid w:val="00D64E36"/>
    <w:rsid w:val="00D73888"/>
    <w:rsid w:val="00D804A3"/>
    <w:rsid w:val="00D80D41"/>
    <w:rsid w:val="00D82FEF"/>
    <w:rsid w:val="00D91A1F"/>
    <w:rsid w:val="00D977D0"/>
    <w:rsid w:val="00DA1F5E"/>
    <w:rsid w:val="00DA3F99"/>
    <w:rsid w:val="00DB009E"/>
    <w:rsid w:val="00DB437C"/>
    <w:rsid w:val="00DB450E"/>
    <w:rsid w:val="00DB709B"/>
    <w:rsid w:val="00DC0BEB"/>
    <w:rsid w:val="00DC5B83"/>
    <w:rsid w:val="00DD1D77"/>
    <w:rsid w:val="00DD6932"/>
    <w:rsid w:val="00DF148B"/>
    <w:rsid w:val="00DF4987"/>
    <w:rsid w:val="00E11BB2"/>
    <w:rsid w:val="00E166B5"/>
    <w:rsid w:val="00E177D8"/>
    <w:rsid w:val="00E2148C"/>
    <w:rsid w:val="00E27D11"/>
    <w:rsid w:val="00E35E2D"/>
    <w:rsid w:val="00E36870"/>
    <w:rsid w:val="00E41AE4"/>
    <w:rsid w:val="00E440B6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44A0"/>
    <w:rsid w:val="00EA70C2"/>
    <w:rsid w:val="00EC4DE0"/>
    <w:rsid w:val="00EC505E"/>
    <w:rsid w:val="00EC6F3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2645B"/>
    <w:rsid w:val="00F276FA"/>
    <w:rsid w:val="00F333AB"/>
    <w:rsid w:val="00F376E8"/>
    <w:rsid w:val="00F45400"/>
    <w:rsid w:val="00F52902"/>
    <w:rsid w:val="00F53AD2"/>
    <w:rsid w:val="00F61002"/>
    <w:rsid w:val="00F71AC1"/>
    <w:rsid w:val="00F74680"/>
    <w:rsid w:val="00F76DAC"/>
    <w:rsid w:val="00F81886"/>
    <w:rsid w:val="00F82BDB"/>
    <w:rsid w:val="00F848EA"/>
    <w:rsid w:val="00F90DB4"/>
    <w:rsid w:val="00FB30F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22A34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7F5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206F8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206F8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6527682/" TargetMode="External"/><Relationship Id="rId13" Type="http://schemas.openxmlformats.org/officeDocument/2006/relationships/hyperlink" Target="https://www.qub.ac.uk/schools/SchoolofPharmacy/Research/find-a-phd-supervisor/dr-gerd-wagn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23836908/" TargetMode="External"/><Relationship Id="rId12" Type="http://schemas.openxmlformats.org/officeDocument/2006/relationships/hyperlink" Target="mailto:g.wagner@qub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2356319/" TargetMode="External"/><Relationship Id="rId11" Type="http://schemas.openxmlformats.org/officeDocument/2006/relationships/hyperlink" Target="https://dap.qub.ac.uk/portal/user/u_login.php" TargetMode="External"/><Relationship Id="rId5" Type="http://schemas.openxmlformats.org/officeDocument/2006/relationships/hyperlink" Target="https://pubmed.ncbi.nlm.nih.gov/2036412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296026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8462843/" TargetMode="External"/><Relationship Id="rId14" Type="http://schemas.openxmlformats.org/officeDocument/2006/relationships/hyperlink" Target="http://www.qub.ac.uk/schools/SchoolofPharmacy/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Gerd Wagner</cp:lastModifiedBy>
  <cp:revision>3</cp:revision>
  <cp:lastPrinted>2019-11-05T17:12:00Z</cp:lastPrinted>
  <dcterms:created xsi:type="dcterms:W3CDTF">2021-05-21T13:03:00Z</dcterms:created>
  <dcterms:modified xsi:type="dcterms:W3CDTF">2021-05-21T13:04:00Z</dcterms:modified>
</cp:coreProperties>
</file>