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EE8D" w14:textId="16710FE3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64D3A">
        <w:t>1</w:t>
      </w:r>
      <w:r w:rsidR="00695F66">
        <w:t xml:space="preserve"> entry</w:t>
      </w:r>
    </w:p>
    <w:p w14:paraId="2B345B2F" w14:textId="77777777" w:rsidR="007F3CD9" w:rsidRDefault="007F3CD9"/>
    <w:p w14:paraId="129AEA40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5C195A5C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53AC75B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1A2C6504" w14:textId="77777777" w:rsidR="001976E1" w:rsidRDefault="001976E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20"/>
      </w:tblGrid>
      <w:tr w:rsidR="007F3CD9" w14:paraId="0E40262D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342C1023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30" w:type="dxa"/>
          </w:tcPr>
          <w:p w14:paraId="1C4883D2" w14:textId="1D63D877" w:rsidR="00F905F4" w:rsidRDefault="00F905F4" w:rsidP="00211ADC">
            <w:pPr>
              <w:rPr>
                <w:rFonts w:cstheme="minorHAnsi"/>
              </w:rPr>
            </w:pPr>
            <w:r w:rsidRPr="00A80663">
              <w:rPr>
                <w:rFonts w:cstheme="minorHAnsi"/>
              </w:rPr>
              <w:t xml:space="preserve">Chemical </w:t>
            </w:r>
            <w:r>
              <w:rPr>
                <w:rFonts w:cstheme="minorHAnsi"/>
              </w:rPr>
              <w:t>t</w:t>
            </w:r>
            <w:r w:rsidRPr="00A80663">
              <w:rPr>
                <w:rFonts w:cstheme="minorHAnsi"/>
              </w:rPr>
              <w:t xml:space="preserve">ools </w:t>
            </w:r>
            <w:r>
              <w:rPr>
                <w:rFonts w:cstheme="minorHAnsi"/>
              </w:rPr>
              <w:t>for antimicrobial target discovery and bacterial profiling</w:t>
            </w:r>
          </w:p>
          <w:p w14:paraId="1973E5B6" w14:textId="2462477C" w:rsidR="00F905F4" w:rsidRPr="000A3F4B" w:rsidRDefault="00F905F4" w:rsidP="00F905F4">
            <w:pPr>
              <w:rPr>
                <w:rFonts w:cstheme="minorHAnsi"/>
              </w:rPr>
            </w:pPr>
          </w:p>
        </w:tc>
      </w:tr>
      <w:tr w:rsidR="007F3CD9" w14:paraId="3766549B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E054285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3AD5CEAB" w14:textId="350B101E" w:rsidR="007C3A10" w:rsidRDefault="00364D3A" w:rsidP="00B4262C">
            <w:r>
              <w:t>3</w:t>
            </w:r>
            <w:r w:rsidR="0098039B">
              <w:t>-years (fully funded)</w:t>
            </w:r>
          </w:p>
        </w:tc>
      </w:tr>
      <w:tr w:rsidR="007F3CD9" w14:paraId="15E2680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6BC89A05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30" w:type="dxa"/>
          </w:tcPr>
          <w:p w14:paraId="09C9983F" w14:textId="4BFC9A2B" w:rsidR="007F3CD9" w:rsidRDefault="00394631">
            <w:r>
              <w:t>DfE</w:t>
            </w:r>
          </w:p>
        </w:tc>
      </w:tr>
      <w:tr w:rsidR="007F3CD9" w14:paraId="1AE9910D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29BE9949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30" w:type="dxa"/>
          </w:tcPr>
          <w:p w14:paraId="100B41D7" w14:textId="5977FE7D" w:rsidR="007F3CD9" w:rsidRDefault="00364D3A">
            <w:r>
              <w:t>1</w:t>
            </w:r>
          </w:p>
        </w:tc>
      </w:tr>
      <w:tr w:rsidR="007F3CD9" w14:paraId="52EFB56C" w14:textId="77777777" w:rsidTr="00160BE3">
        <w:trPr>
          <w:trHeight w:val="699"/>
        </w:trPr>
        <w:tc>
          <w:tcPr>
            <w:tcW w:w="1512" w:type="dxa"/>
            <w:shd w:val="clear" w:color="auto" w:fill="DEEAF6" w:themeFill="accent1" w:themeFillTint="33"/>
          </w:tcPr>
          <w:p w14:paraId="0D6E5F31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432965F3" w14:textId="1A740521" w:rsidR="00B240F3" w:rsidRPr="00160BE3" w:rsidRDefault="00B240F3" w:rsidP="000A3F4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399B49" w14:textId="77777777" w:rsidR="00DA5F02" w:rsidRPr="00160BE3" w:rsidRDefault="00F905F4" w:rsidP="00F905F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05F4">
              <w:rPr>
                <w:rFonts w:ascii="Calibri" w:hAnsi="Calibri" w:cs="Calibri"/>
                <w:sz w:val="22"/>
                <w:szCs w:val="22"/>
              </w:rPr>
              <w:t>Antimicrobial resistance (AMR) is one of the most urgent scientific, medical, and societal challenges</w:t>
            </w:r>
            <w:r w:rsidR="00DA5F02" w:rsidRPr="00160BE3">
              <w:rPr>
                <w:rFonts w:ascii="Calibri" w:hAnsi="Calibri" w:cs="Calibri"/>
                <w:sz w:val="22"/>
                <w:szCs w:val="22"/>
              </w:rPr>
              <w:t xml:space="preserve"> of today</w:t>
            </w:r>
            <w:r w:rsidRPr="00F905F4">
              <w:rPr>
                <w:rFonts w:ascii="Calibri" w:hAnsi="Calibri" w:cs="Calibri"/>
                <w:sz w:val="22"/>
                <w:szCs w:val="22"/>
              </w:rPr>
              <w:t>. AMR</w:t>
            </w:r>
            <w:r w:rsidRPr="00160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05F4">
              <w:rPr>
                <w:rFonts w:ascii="Calibri" w:hAnsi="Calibri" w:cs="Calibri"/>
                <w:sz w:val="22"/>
                <w:szCs w:val="22"/>
              </w:rPr>
              <w:t>is predicted to result globally in &gt;10 million deaths per year and &gt;100 trillion USD in lost economic output by 2050, if no</w:t>
            </w:r>
            <w:r w:rsidRPr="00160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05F4">
              <w:rPr>
                <w:rFonts w:ascii="Calibri" w:hAnsi="Calibri" w:cs="Calibri"/>
                <w:sz w:val="22"/>
                <w:szCs w:val="22"/>
              </w:rPr>
              <w:t xml:space="preserve">immediate action is taken </w:t>
            </w:r>
            <w:r w:rsidRPr="00160BE3">
              <w:rPr>
                <w:rFonts w:ascii="Calibri" w:hAnsi="Calibri" w:cs="Calibri"/>
                <w:sz w:val="22"/>
                <w:szCs w:val="22"/>
              </w:rPr>
              <w:t>(</w:t>
            </w:r>
            <w:hyperlink r:id="rId5" w:history="1">
              <w:r w:rsidRPr="00160BE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https://amr-review.org</w:t>
              </w:r>
            </w:hyperlink>
            <w:r w:rsidRPr="00160BE3">
              <w:rPr>
                <w:rFonts w:ascii="Calibri" w:hAnsi="Calibri" w:cs="Calibri"/>
                <w:sz w:val="22"/>
                <w:szCs w:val="22"/>
                <w:lang w:val="en-GB"/>
              </w:rPr>
              <w:t>).</w:t>
            </w:r>
            <w:r w:rsidR="00F2395F"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F905F4">
              <w:rPr>
                <w:rFonts w:ascii="Calibri" w:hAnsi="Calibri" w:cs="Calibri"/>
                <w:sz w:val="22"/>
                <w:szCs w:val="22"/>
              </w:rPr>
              <w:t>AMR arises when microorganisms that cause infection (</w:t>
            </w:r>
            <w:proofErr w:type="gramStart"/>
            <w:r w:rsidRPr="00F905F4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F905F4">
              <w:rPr>
                <w:rFonts w:ascii="Calibri" w:hAnsi="Calibri" w:cs="Calibri"/>
                <w:sz w:val="22"/>
                <w:szCs w:val="22"/>
              </w:rPr>
              <w:t xml:space="preserve"> bacteria) survive exposure to a</w:t>
            </w:r>
            <w:r w:rsidR="00DA5F02" w:rsidRPr="00160B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05F4">
              <w:rPr>
                <w:rFonts w:ascii="Calibri" w:hAnsi="Calibri" w:cs="Calibri"/>
                <w:sz w:val="22"/>
                <w:szCs w:val="22"/>
              </w:rPr>
              <w:t>medicine (e.g., an antibiotic) that would normally kill them or stop their growth.</w:t>
            </w:r>
          </w:p>
          <w:p w14:paraId="22C4480F" w14:textId="729846E7" w:rsidR="00F905F4" w:rsidRPr="00160BE3" w:rsidRDefault="00F905F4" w:rsidP="00F905F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goal of this project is the development of a chemical toolbox for the identification </w:t>
            </w:r>
            <w:r w:rsidR="00384F6E"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tracking </w:t>
            </w:r>
            <w:r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 </w:t>
            </w:r>
            <w:r w:rsidR="00050C55"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protein </w:t>
            </w:r>
            <w:r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markers </w:t>
            </w:r>
            <w:r w:rsidR="00DA5F02" w:rsidRPr="00160BE3">
              <w:rPr>
                <w:rFonts w:ascii="Calibri" w:hAnsi="Calibri" w:cs="Calibri"/>
                <w:sz w:val="22"/>
                <w:szCs w:val="22"/>
                <w:lang w:val="en-GB"/>
              </w:rPr>
              <w:t>that drive resistance development and</w:t>
            </w:r>
            <w:r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bacterial virulence</w:t>
            </w:r>
            <w:r w:rsidR="0079452E" w:rsidRPr="00160BE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44971C97" w14:textId="12309B8C" w:rsidR="00A000F4" w:rsidRPr="00160BE3" w:rsidRDefault="00384F6E" w:rsidP="00A000F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Small molecule electrophiles are powerful tools for the </w:t>
            </w:r>
            <w:r w:rsidR="00A000F4" w:rsidRPr="00160BE3">
              <w:rPr>
                <w:rFonts w:ascii="Calibri" w:hAnsi="Calibri" w:cs="Calibri"/>
                <w:sz w:val="22"/>
                <w:szCs w:val="22"/>
                <w:lang w:val="en-GB"/>
              </w:rPr>
              <w:t>interrogation of the bacterial proteome (e.g.,</w:t>
            </w:r>
            <w:r w:rsidR="006B57FD" w:rsidRPr="00160B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6" w:history="1">
              <w:proofErr w:type="spellStart"/>
              <w:r w:rsidR="006B57FD" w:rsidRPr="00160BE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Curr</w:t>
              </w:r>
              <w:proofErr w:type="spellEnd"/>
              <w:r w:rsidR="006B57FD" w:rsidRPr="00160BE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 xml:space="preserve"> Top </w:t>
              </w:r>
              <w:proofErr w:type="spellStart"/>
              <w:r w:rsidR="006B57FD" w:rsidRPr="00160BE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Microbiol</w:t>
              </w:r>
              <w:proofErr w:type="spellEnd"/>
              <w:r w:rsidR="006B57FD" w:rsidRPr="00160BE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 xml:space="preserve"> Immunol 2019</w:t>
              </w:r>
            </w:hyperlink>
            <w:r w:rsidR="006B57FD" w:rsidRPr="00160BE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>. Ca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>rbohydrate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>represent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 an attractive chemical scaffold for the design of such tools</w:t>
            </w:r>
            <w:r w:rsidR="00160BE3" w:rsidRPr="00160BE3">
              <w:rPr>
                <w:rFonts w:ascii="Calibri" w:hAnsi="Calibri" w:cs="Calibri"/>
                <w:sz w:val="22"/>
                <w:szCs w:val="22"/>
              </w:rPr>
              <w:t xml:space="preserve"> from both a chemistry and biology perspective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. We have recently exemplified this 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 xml:space="preserve">design 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concept with the 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successful labelling of protein targets in the bacterial pathogens </w:t>
            </w:r>
            <w:proofErr w:type="spellStart"/>
            <w:r w:rsidR="00A000F4" w:rsidRPr="00160BE3">
              <w:rPr>
                <w:rFonts w:ascii="Calibri" w:hAnsi="Calibri" w:cs="Calibri"/>
                <w:i/>
                <w:iCs/>
                <w:sz w:val="22"/>
                <w:szCs w:val="22"/>
              </w:rPr>
              <w:t>Haemophilus</w:t>
            </w:r>
            <w:proofErr w:type="spellEnd"/>
            <w:r w:rsidR="00A000F4" w:rsidRPr="00160BE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influenzae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A000F4" w:rsidRPr="00160BE3">
              <w:rPr>
                <w:rFonts w:ascii="Calibri" w:hAnsi="Calibri" w:cs="Calibri"/>
                <w:i/>
                <w:iCs/>
                <w:sz w:val="22"/>
                <w:szCs w:val="22"/>
              </w:rPr>
              <w:t>Klebsiella pneumoniae</w:t>
            </w:r>
            <w:r w:rsidR="00A000F4" w:rsidRPr="00160BE3">
              <w:rPr>
                <w:rFonts w:ascii="Calibri" w:hAnsi="Calibri" w:cs="Calibri"/>
                <w:sz w:val="22"/>
                <w:szCs w:val="22"/>
              </w:rPr>
              <w:t xml:space="preserve"> with a carbohydrate-based probe (</w:t>
            </w:r>
            <w:hyperlink r:id="rId7" w:history="1">
              <w:r w:rsidR="006B57FD" w:rsidRPr="00160BE3">
                <w:rPr>
                  <w:rStyle w:val="Hyperlink"/>
                  <w:rFonts w:ascii="Calibri" w:hAnsi="Calibri" w:cs="Calibri"/>
                  <w:sz w:val="22"/>
                  <w:szCs w:val="22"/>
                </w:rPr>
                <w:t>BMC 2021</w:t>
              </w:r>
            </w:hyperlink>
            <w:r w:rsidR="006B57FD" w:rsidRPr="00160BE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8" w:anchor="!divAbstract" w:history="1">
              <w:r w:rsidR="006B57FD" w:rsidRPr="00160BE3">
                <w:rPr>
                  <w:rStyle w:val="Hyperlink"/>
                  <w:rFonts w:ascii="Calibri" w:hAnsi="Calibri" w:cs="Calibri"/>
                  <w:sz w:val="22"/>
                  <w:szCs w:val="22"/>
                </w:rPr>
                <w:t>OBC 2021</w:t>
              </w:r>
            </w:hyperlink>
            <w:r w:rsidR="006B57FD" w:rsidRPr="00160BE3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445100D3" w14:textId="07E18CC1" w:rsidR="00160BE3" w:rsidRDefault="006B57FD" w:rsidP="006B57F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0BE3">
              <w:rPr>
                <w:rFonts w:ascii="Calibri" w:hAnsi="Calibri" w:cs="Calibri"/>
                <w:sz w:val="22"/>
                <w:szCs w:val="22"/>
              </w:rPr>
              <w:t xml:space="preserve">In this project, you will develop 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 xml:space="preserve">carbohydrate-based </w:t>
            </w:r>
            <w:r w:rsidRPr="00160BE3">
              <w:rPr>
                <w:rFonts w:ascii="Calibri" w:hAnsi="Calibri" w:cs="Calibri"/>
                <w:sz w:val="22"/>
                <w:szCs w:val="22"/>
              </w:rPr>
              <w:t>probes with bespoke reactivity and selectivity for bacterial proteins involved in AMR and virulence.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 xml:space="preserve"> You </w:t>
            </w:r>
            <w:r w:rsidRPr="00160BE3"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="0079452E" w:rsidRPr="00160BE3">
              <w:rPr>
                <w:rFonts w:ascii="Calibri" w:hAnsi="Calibri" w:cs="Calibri"/>
                <w:sz w:val="22"/>
                <w:szCs w:val="22"/>
              </w:rPr>
              <w:t xml:space="preserve">use 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>your probes for the profiling of bacterial pathogens,</w:t>
            </w:r>
            <w:r w:rsidR="0079452E" w:rsidRPr="00160BE3">
              <w:rPr>
                <w:rFonts w:ascii="Calibri" w:hAnsi="Calibri" w:cs="Calibri"/>
                <w:sz w:val="22"/>
                <w:szCs w:val="22"/>
              </w:rPr>
              <w:t xml:space="preserve"> including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 xml:space="preserve"> the tracking of </w:t>
            </w:r>
            <w:r w:rsidR="0079452E" w:rsidRPr="00160BE3">
              <w:rPr>
                <w:rFonts w:ascii="Calibri" w:hAnsi="Calibri" w:cs="Calibri"/>
                <w:sz w:val="22"/>
                <w:szCs w:val="22"/>
              </w:rPr>
              <w:t xml:space="preserve">bacterial </w:t>
            </w:r>
            <w:r w:rsidR="00050C55" w:rsidRPr="00160BE3">
              <w:rPr>
                <w:rFonts w:ascii="Calibri" w:hAnsi="Calibri" w:cs="Calibri"/>
                <w:sz w:val="22"/>
                <w:szCs w:val="22"/>
              </w:rPr>
              <w:t>protein expression in response to environmental factors</w:t>
            </w:r>
            <w:r w:rsidR="00160BE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60BE3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identification of </w:t>
            </w:r>
            <w:r w:rsidR="00160BE3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novel </w:t>
            </w:r>
            <w:r w:rsidR="00160BE3" w:rsidRPr="00160BE3">
              <w:rPr>
                <w:rFonts w:ascii="Calibri" w:hAnsi="Calibri" w:cs="Calibri"/>
                <w:sz w:val="22"/>
                <w:szCs w:val="22"/>
                <w:lang w:val="en-GB"/>
              </w:rPr>
              <w:t>targets for antibiotics and diagnostics development.</w:t>
            </w:r>
          </w:p>
          <w:p w14:paraId="24BEE9E2" w14:textId="77777777" w:rsidR="00160BE3" w:rsidRPr="00160BE3" w:rsidRDefault="00050C55" w:rsidP="00B324B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project will provide extensive multidisciplinary training at the chemistry/biology interface</w:t>
            </w:r>
            <w:r w:rsidR="000921CB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including </w:t>
            </w:r>
            <w:r w:rsidR="0079452E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chemical probe</w:t>
            </w:r>
            <w:r w:rsidR="000921CB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design</w:t>
            </w:r>
            <w:r w:rsidR="0079452E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carbohydrate synthesis,</w:t>
            </w:r>
            <w:r w:rsidR="000921CB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60BE3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bioanalytical techniques</w:t>
            </w:r>
            <w:r w:rsidR="000921CB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protein mass spectrometry, and bacterial growth assays.</w:t>
            </w:r>
            <w:r w:rsidR="00160BE3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921CB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It is ideally suited for a student with a strong background in organic/medicinal chemistry, chemical biology, or a related area, who wants to broaden their skill set in proteomics</w:t>
            </w:r>
            <w:r w:rsidR="00160BE3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0921CB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microbiology</w:t>
            </w:r>
            <w:r w:rsidR="00160BE3" w:rsidRPr="00160B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and carbohydrate chemistry.</w:t>
            </w:r>
          </w:p>
          <w:p w14:paraId="5E468881" w14:textId="0C8D533C" w:rsidR="007F3CD9" w:rsidRPr="00160BE3" w:rsidRDefault="00160BE3" w:rsidP="00B324B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0BE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He/she will be primarily based in the John King Laboratory in the School of Pharmacy at QUB, but also </w:t>
            </w:r>
            <w:proofErr w:type="gramStart"/>
            <w:r w:rsidRPr="00160BE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have the opportunity to</w:t>
            </w:r>
            <w:proofErr w:type="gramEnd"/>
            <w:r w:rsidRPr="00160BE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experience different research environments </w:t>
            </w:r>
            <w:r w:rsidRPr="00160BE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lastRenderedPageBreak/>
              <w:t>through collaboration with</w:t>
            </w:r>
            <w:r w:rsidRPr="00160BE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external partners. </w:t>
            </w:r>
            <w:r w:rsidRPr="00160BE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The project will also provide an ideal opportunity to acquire transferable and generic skills in time and project management, science outreach, and knowledge transfer and </w:t>
            </w:r>
            <w:proofErr w:type="spellStart"/>
            <w:r w:rsidRPr="00160BE3">
              <w:rPr>
                <w:rFonts w:ascii="Calibri" w:hAnsi="Calibri" w:cs="Calibri"/>
                <w:bCs/>
                <w:sz w:val="22"/>
                <w:szCs w:val="22"/>
              </w:rPr>
              <w:t>commercialisation</w:t>
            </w:r>
            <w:proofErr w:type="spellEnd"/>
            <w:r w:rsidRPr="00160B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695F66" w14:paraId="69A9B0F0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510FD40A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7730" w:type="dxa"/>
          </w:tcPr>
          <w:p w14:paraId="67465B5F" w14:textId="6E687919" w:rsidR="00B4262C" w:rsidRPr="002963E1" w:rsidRDefault="0098039B" w:rsidP="00B4262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Professor Gerd Wagner</w:t>
            </w:r>
          </w:p>
          <w:p w14:paraId="112C4041" w14:textId="77777777" w:rsidR="002963E1" w:rsidRPr="002963E1" w:rsidRDefault="002963E1">
            <w:pPr>
              <w:rPr>
                <w:rFonts w:ascii="Calibri" w:eastAsia="Calibri" w:hAnsi="Calibri"/>
              </w:rPr>
            </w:pPr>
          </w:p>
        </w:tc>
      </w:tr>
      <w:tr w:rsidR="007F3CD9" w14:paraId="7C3408A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2DF5D14A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30" w:type="dxa"/>
          </w:tcPr>
          <w:p w14:paraId="4A6ABF27" w14:textId="23B219FC" w:rsidR="007F3CD9" w:rsidRPr="007F3CD9" w:rsidRDefault="00FB30F4">
            <w:r>
              <w:t>UK/EU</w:t>
            </w:r>
          </w:p>
        </w:tc>
      </w:tr>
      <w:tr w:rsidR="007F3CD9" w14:paraId="3C146321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733C74BC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30" w:type="dxa"/>
          </w:tcPr>
          <w:p w14:paraId="7157458F" w14:textId="77777777" w:rsidR="007F3CD9" w:rsidRDefault="007C3A10">
            <w:r>
              <w:t>Northern Ireland</w:t>
            </w:r>
          </w:p>
        </w:tc>
      </w:tr>
      <w:tr w:rsidR="007F3CD9" w14:paraId="60EA7ABC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752BBD48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2A095A42" w14:textId="3038689B" w:rsidR="007F3CD9" w:rsidRPr="002059CD" w:rsidRDefault="0079452E" w:rsidP="007F3C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position is available immediately for 3 years.</w:t>
            </w:r>
          </w:p>
          <w:p w14:paraId="43D86D6B" w14:textId="77777777" w:rsidR="007F3CD9" w:rsidRPr="00FB30F4" w:rsidRDefault="007F3CD9" w:rsidP="003A76E9"/>
        </w:tc>
      </w:tr>
      <w:tr w:rsidR="007F3CD9" w14:paraId="3F89C38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E736879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30" w:type="dxa"/>
          </w:tcPr>
          <w:p w14:paraId="4C7BAC31" w14:textId="77777777" w:rsidR="007F3CD9" w:rsidRDefault="007C3A10">
            <w:r>
              <w:t>MHLS</w:t>
            </w:r>
          </w:p>
        </w:tc>
      </w:tr>
      <w:tr w:rsidR="007F3CD9" w14:paraId="34BD3B03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31E987D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30" w:type="dxa"/>
          </w:tcPr>
          <w:p w14:paraId="67CCBEB6" w14:textId="77777777" w:rsidR="007F3CD9" w:rsidRDefault="007C3A10">
            <w:r>
              <w:t>Pharmacy</w:t>
            </w:r>
          </w:p>
        </w:tc>
      </w:tr>
      <w:tr w:rsidR="001B792D" w14:paraId="07396A5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A8DB555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30" w:type="dxa"/>
          </w:tcPr>
          <w:p w14:paraId="09727684" w14:textId="0F75EDCA" w:rsidR="001B792D" w:rsidRDefault="00FB30F4">
            <w:r>
              <w:t>Chemistry, Medicinal Chemistry, Organic Chemistry, Chemical Biology, Pharmacy, Pharmaceutical Sciences</w:t>
            </w:r>
          </w:p>
        </w:tc>
      </w:tr>
      <w:tr w:rsidR="007F3CD9" w14:paraId="27DFB4E6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0B24568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121D7589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30" w:type="dxa"/>
          </w:tcPr>
          <w:p w14:paraId="6E265D4C" w14:textId="79066FDC" w:rsidR="007F3CD9" w:rsidRDefault="007C3A10">
            <w:pPr>
              <w:rPr>
                <w:rFonts w:cs="Arial"/>
              </w:rPr>
            </w:pPr>
            <w:r w:rsidRPr="007C3A10">
              <w:rPr>
                <w:rFonts w:cs="Arial"/>
              </w:rPr>
              <w:t>Applicants should have a 1st or 2.1 honours degree (or equivalent) in a relevant subject</w:t>
            </w:r>
            <w:r w:rsidR="000921CB">
              <w:rPr>
                <w:rFonts w:cs="Arial"/>
              </w:rPr>
              <w:t xml:space="preserve">. These </w:t>
            </w:r>
            <w:r w:rsidRPr="007C3A10">
              <w:rPr>
                <w:rFonts w:cs="Arial"/>
              </w:rPr>
              <w:t xml:space="preserve">include </w:t>
            </w:r>
            <w:r w:rsidR="00421CDB">
              <w:rPr>
                <w:rFonts w:cs="Arial"/>
              </w:rPr>
              <w:t xml:space="preserve">Chemistry, </w:t>
            </w:r>
            <w:r w:rsidR="00B324B1">
              <w:rPr>
                <w:rFonts w:cs="Arial"/>
              </w:rPr>
              <w:t xml:space="preserve">Chemical Biology, </w:t>
            </w:r>
            <w:r w:rsidRPr="007C3A10">
              <w:rPr>
                <w:rFonts w:cs="Arial"/>
              </w:rPr>
              <w:t>Pharmacy, Pharmaceutical Sciences, Biochemistry, Biological/Biomedical Sciences,</w:t>
            </w:r>
            <w:r w:rsidR="002F06D8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Engineering</w:t>
            </w:r>
            <w:r w:rsidR="00E41AE4"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  <w:r w:rsidR="00B324B1">
              <w:rPr>
                <w:rFonts w:cs="Arial"/>
              </w:rPr>
              <w:t>.</w:t>
            </w:r>
          </w:p>
          <w:p w14:paraId="0F32B894" w14:textId="2AEF93C9" w:rsidR="00B324B1" w:rsidRPr="007C3A10" w:rsidRDefault="00B324B1" w:rsidP="00B324B1"/>
        </w:tc>
      </w:tr>
      <w:tr w:rsidR="007F3CD9" w14:paraId="3D141E0D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C2B98B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30" w:type="dxa"/>
          </w:tcPr>
          <w:p w14:paraId="5C2D04D4" w14:textId="7573A037" w:rsidR="000921CB" w:rsidRDefault="000921CB">
            <w:pPr>
              <w:rPr>
                <w:color w:val="000000" w:themeColor="text1"/>
              </w:rPr>
            </w:pPr>
            <w:r w:rsidRPr="000921CB">
              <w:rPr>
                <w:color w:val="000000" w:themeColor="text1"/>
              </w:rPr>
              <w:t xml:space="preserve">Applications will be </w:t>
            </w:r>
            <w:r>
              <w:rPr>
                <w:color w:val="000000" w:themeColor="text1"/>
              </w:rPr>
              <w:t>review</w:t>
            </w:r>
            <w:r w:rsidRPr="000921CB">
              <w:rPr>
                <w:color w:val="000000" w:themeColor="text1"/>
              </w:rPr>
              <w:t>ed on a rolling basis and the position will be considered filled once a suitable candidate has been identified.</w:t>
            </w:r>
          </w:p>
          <w:p w14:paraId="6FD665AC" w14:textId="0F0775E4" w:rsidR="000921CB" w:rsidRDefault="000921CB">
            <w:pPr>
              <w:rPr>
                <w:color w:val="000000" w:themeColor="text1"/>
              </w:rPr>
            </w:pPr>
          </w:p>
          <w:p w14:paraId="2C426FCA" w14:textId="440DA68D" w:rsidR="000921CB" w:rsidRDefault="00092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Closing date: </w:t>
            </w:r>
            <w:r>
              <w:rPr>
                <w:color w:val="000000" w:themeColor="text1"/>
              </w:rPr>
              <w:t>2</w:t>
            </w:r>
            <w:r w:rsidRPr="00126BF8">
              <w:rPr>
                <w:color w:val="000000" w:themeColor="text1"/>
              </w:rPr>
              <w:t>1 June 2021</w:t>
            </w:r>
          </w:p>
          <w:p w14:paraId="3F8DC6E5" w14:textId="2B830394" w:rsidR="000921CB" w:rsidRDefault="000921CB"/>
        </w:tc>
      </w:tr>
      <w:tr w:rsidR="007F3CD9" w14:paraId="298C842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7D1B0EA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30" w:type="dxa"/>
          </w:tcPr>
          <w:p w14:paraId="527CD2D4" w14:textId="54FC5A94" w:rsidR="007F3CD9" w:rsidRDefault="00B324B1">
            <w:r>
              <w:t xml:space="preserve">Applications must be submitted electronically via the </w:t>
            </w:r>
            <w:r w:rsidR="007F3CD9" w:rsidRPr="007F3CD9">
              <w:t>Queen’s Direct Applications Portal</w:t>
            </w:r>
            <w:r w:rsidR="00542B51">
              <w:t>,</w:t>
            </w:r>
            <w:r w:rsidR="007F3CD9" w:rsidRPr="007F3CD9">
              <w:t xml:space="preserve"> </w:t>
            </w:r>
            <w:r>
              <w:t xml:space="preserve">including ALL </w:t>
            </w:r>
            <w:r w:rsidR="007F3CD9" w:rsidRPr="007F3CD9">
              <w:t>required supporting documents.</w:t>
            </w:r>
          </w:p>
          <w:p w14:paraId="19B0F658" w14:textId="77777777" w:rsidR="007F3CD9" w:rsidRDefault="007F3CD9"/>
          <w:p w14:paraId="4F34142D" w14:textId="77777777" w:rsidR="007F3CD9" w:rsidRDefault="00372025">
            <w:hyperlink r:id="rId9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  <w:p w14:paraId="67365CF2" w14:textId="52B72D8A" w:rsidR="00071418" w:rsidRDefault="00071418">
            <w:r>
              <w:t xml:space="preserve">Informal enquiries should be directed to </w:t>
            </w:r>
            <w:hyperlink r:id="rId10" w:history="1">
              <w:r w:rsidRPr="00081D18">
                <w:rPr>
                  <w:rStyle w:val="Hyperlink"/>
                </w:rPr>
                <w:t>g.wagner@qub.ac.uk</w:t>
              </w:r>
            </w:hyperlink>
          </w:p>
          <w:p w14:paraId="30A68B71" w14:textId="77777777" w:rsidR="00071418" w:rsidRDefault="00071418"/>
          <w:p w14:paraId="3B7A99DD" w14:textId="107823D0" w:rsidR="00071418" w:rsidRDefault="00071418">
            <w:r>
              <w:t>The title of the studentship should be referenced in all c</w:t>
            </w:r>
            <w:r w:rsidR="007204C4">
              <w:t>orrespondence</w:t>
            </w:r>
            <w:r>
              <w:t>.</w:t>
            </w:r>
          </w:p>
          <w:p w14:paraId="34E753F4" w14:textId="00403D41" w:rsidR="00071418" w:rsidRDefault="00071418"/>
        </w:tc>
      </w:tr>
      <w:tr w:rsidR="007F3CD9" w14:paraId="2D75A840" w14:textId="77777777" w:rsidTr="00D447B1">
        <w:trPr>
          <w:trHeight w:val="1408"/>
        </w:trPr>
        <w:tc>
          <w:tcPr>
            <w:tcW w:w="1512" w:type="dxa"/>
            <w:shd w:val="clear" w:color="auto" w:fill="DEEAF6" w:themeFill="accent1" w:themeFillTint="33"/>
          </w:tcPr>
          <w:p w14:paraId="0EB6446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0169F4EA" w14:textId="77777777" w:rsidR="007F3CD9" w:rsidRDefault="007F3CD9"/>
        </w:tc>
        <w:tc>
          <w:tcPr>
            <w:tcW w:w="7730" w:type="dxa"/>
          </w:tcPr>
          <w:p w14:paraId="722AA9BF" w14:textId="0B2CAE54" w:rsidR="007204C4" w:rsidRDefault="00372025" w:rsidP="00916B56">
            <w:pPr>
              <w:rPr>
                <w:rStyle w:val="Hyperlink"/>
              </w:rPr>
            </w:pPr>
            <w:hyperlink r:id="rId11" w:history="1">
              <w:r w:rsidR="00916B56" w:rsidRPr="00117BA9">
                <w:rPr>
                  <w:rStyle w:val="Hyperlink"/>
                </w:rPr>
                <w:t>https://www.qub.ac.uk/schools/SchoolofPharmacy/Research/find-a-phd-supervisor/dr-gerd-wagner.html</w:t>
              </w:r>
            </w:hyperlink>
          </w:p>
          <w:p w14:paraId="76F25E0D" w14:textId="1954B968" w:rsidR="007C3A10" w:rsidRDefault="00372025">
            <w:pPr>
              <w:rPr>
                <w:rStyle w:val="Hyperlink"/>
              </w:rPr>
            </w:pPr>
            <w:hyperlink r:id="rId12" w:history="1">
              <w:r w:rsidR="00916B56" w:rsidRPr="00C9116B">
                <w:rPr>
                  <w:rStyle w:val="Hyperlink"/>
                </w:rPr>
                <w:t>http://www.qub.ac.uk/schools/SchoolofPharmacy/Research/</w:t>
              </w:r>
            </w:hyperlink>
          </w:p>
          <w:p w14:paraId="384440C5" w14:textId="77777777" w:rsidR="007C3A10" w:rsidRDefault="007C3A10"/>
        </w:tc>
      </w:tr>
      <w:tr w:rsidR="001B792D" w14:paraId="65E7908E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5C45B32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30" w:type="dxa"/>
          </w:tcPr>
          <w:p w14:paraId="28EB4CA1" w14:textId="7AA0F930" w:rsidR="001B792D" w:rsidRDefault="00542B51" w:rsidP="00A70333">
            <w:pPr>
              <w:jc w:val="both"/>
            </w:pPr>
            <w:r>
              <w:t xml:space="preserve">chemical biology, </w:t>
            </w:r>
            <w:r w:rsidR="00160BE3">
              <w:t>carbohydrate chemistry</w:t>
            </w:r>
            <w:r w:rsidR="00160BE3">
              <w:t xml:space="preserve">, </w:t>
            </w:r>
            <w:r w:rsidR="007A57D1">
              <w:t xml:space="preserve">organic synthesis, medicinal chemistry, </w:t>
            </w:r>
            <w:r w:rsidR="00160BE3">
              <w:t>proteomics</w:t>
            </w:r>
            <w:r w:rsidR="00364D3A">
              <w:t>, glycobiology</w:t>
            </w:r>
            <w:r w:rsidR="007A57D1">
              <w:t>, multidisciplinary</w:t>
            </w:r>
            <w:r w:rsidR="00160BE3">
              <w:t>, antibacterial</w:t>
            </w:r>
          </w:p>
        </w:tc>
      </w:tr>
      <w:tr w:rsidR="001B792D" w14:paraId="1A6CABA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A19024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 xml:space="preserve">Training provided </w:t>
            </w:r>
            <w:r>
              <w:rPr>
                <w:b/>
              </w:rPr>
              <w:lastRenderedPageBreak/>
              <w:t>through the research project</w:t>
            </w:r>
          </w:p>
        </w:tc>
        <w:tc>
          <w:tcPr>
            <w:tcW w:w="7730" w:type="dxa"/>
          </w:tcPr>
          <w:p w14:paraId="1A5E7591" w14:textId="5CA0F142" w:rsidR="00071418" w:rsidRDefault="00542B51" w:rsidP="00916B5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lastRenderedPageBreak/>
              <w:t>The s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tudent will receive in-depth training in a broad range of </w:t>
            </w:r>
            <w:r w:rsidR="007204C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experimental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techniques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in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medicinal chemistry and 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chemical biology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, including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rational inhibitor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lastRenderedPageBreak/>
              <w:t xml:space="preserve">design, </w:t>
            </w:r>
            <w:r w:rsidR="001D4BA3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advanced organic synthesis,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protein biochemistry,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and </w:t>
            </w:r>
            <w:r w:rsidR="00694F1B" w:rsidRPr="00694F1B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  <w:t>in vitro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assay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s.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He/she will be 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primarily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based in the John King Laboratory in the School of Pharmacy at QUB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, but also </w:t>
            </w:r>
            <w:proofErr w:type="gramStart"/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have the opportunity to</w:t>
            </w:r>
            <w:proofErr w:type="gramEnd"/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experience </w:t>
            </w:r>
            <w:r w:rsidR="00694F1B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different research environments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through collaboration with external partners.</w:t>
            </w:r>
          </w:p>
          <w:p w14:paraId="7423BF3E" w14:textId="487BE57A" w:rsidR="001D4BA3" w:rsidRPr="00214581" w:rsidRDefault="00694F1B" w:rsidP="00916B5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The project 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will </w:t>
            </w:r>
            <w:r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also 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provide an ideal opportunity to acquire transferable and generic skills 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in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time</w:t>
            </w:r>
            <w:r w:rsidR="007204C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and 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project management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,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science outreach, and knowledge transfer and </w:t>
            </w:r>
            <w:proofErr w:type="spellStart"/>
            <w:r w:rsidRPr="00206F8D">
              <w:rPr>
                <w:rFonts w:ascii="Calibri" w:hAnsi="Calibri" w:cs="Calibri"/>
                <w:bCs/>
                <w:sz w:val="22"/>
                <w:szCs w:val="22"/>
              </w:rPr>
              <w:t>commerciali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206F8D">
              <w:rPr>
                <w:rFonts w:ascii="Calibri" w:hAnsi="Calibri" w:cs="Calibri"/>
                <w:bCs/>
                <w:sz w:val="22"/>
                <w:szCs w:val="22"/>
              </w:rPr>
              <w:t>ation</w:t>
            </w:r>
            <w:proofErr w:type="spellEnd"/>
            <w:r w:rsidRPr="00206F8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1B792D" w14:paraId="3C419472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6010DF0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lastRenderedPageBreak/>
              <w:t>Expected impact activities</w:t>
            </w:r>
          </w:p>
        </w:tc>
        <w:tc>
          <w:tcPr>
            <w:tcW w:w="7730" w:type="dxa"/>
          </w:tcPr>
          <w:p w14:paraId="018090D9" w14:textId="23AD1234" w:rsidR="00214581" w:rsidRPr="00A70333" w:rsidRDefault="00916B56" w:rsidP="00A70333">
            <w:pPr>
              <w:pStyle w:val="Header"/>
              <w:tabs>
                <w:tab w:val="clear" w:pos="4153"/>
                <w:tab w:val="clear" w:pos="8306"/>
                <w:tab w:val="left" w:pos="62"/>
                <w:tab w:val="left" w:pos="488"/>
              </w:tabs>
              <w:spacing w:after="120"/>
              <w:ind w:right="-13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 is anticipated that </w:t>
            </w:r>
            <w:r w:rsidR="00372025">
              <w:rPr>
                <w:rFonts w:ascii="Calibri" w:hAnsi="Calibri" w:cs="Calibri"/>
                <w:bCs/>
                <w:sz w:val="22"/>
                <w:szCs w:val="22"/>
              </w:rPr>
              <w:t>chemical probes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developed in this project will create opportunities for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knowledge transfer, translation, and commercialisation in the areas of </w:t>
            </w:r>
            <w:r w:rsidR="00071418">
              <w:rPr>
                <w:rFonts w:ascii="Calibri" w:hAnsi="Calibri" w:cs="Calibri"/>
                <w:bCs/>
                <w:sz w:val="22"/>
                <w:szCs w:val="22"/>
              </w:rPr>
              <w:t>drug</w:t>
            </w:r>
            <w:r w:rsidR="000921CB">
              <w:rPr>
                <w:rFonts w:ascii="Calibri" w:hAnsi="Calibri" w:cs="Calibri"/>
                <w:bCs/>
                <w:sz w:val="22"/>
                <w:szCs w:val="22"/>
              </w:rPr>
              <w:t xml:space="preserve"> and diagnostics</w:t>
            </w:r>
            <w:r w:rsidR="00071418">
              <w:rPr>
                <w:rFonts w:ascii="Calibri" w:hAnsi="Calibri" w:cs="Calibri"/>
                <w:bCs/>
                <w:sz w:val="22"/>
                <w:szCs w:val="22"/>
              </w:rPr>
              <w:t xml:space="preserve"> development for </w:t>
            </w:r>
            <w:r w:rsidR="000921CB">
              <w:rPr>
                <w:rFonts w:ascii="Calibri" w:hAnsi="Calibri" w:cs="Calibri"/>
                <w:bCs/>
                <w:sz w:val="22"/>
                <w:szCs w:val="22"/>
              </w:rPr>
              <w:t>bacterial infections</w:t>
            </w:r>
            <w:r w:rsidR="00071418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>The project w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ill also offer an opportunity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for the student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contribute to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a range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outreach activities such as the regular delivery of science workshops for school children and lay audiences.</w:t>
            </w:r>
          </w:p>
        </w:tc>
      </w:tr>
    </w:tbl>
    <w:p w14:paraId="3AE8BB6C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218"/>
    <w:multiLevelType w:val="hybridMultilevel"/>
    <w:tmpl w:val="3054767A"/>
    <w:lvl w:ilvl="0" w:tplc="CF2A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5F3"/>
    <w:multiLevelType w:val="multilevel"/>
    <w:tmpl w:val="107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048AE"/>
    <w:multiLevelType w:val="multilevel"/>
    <w:tmpl w:val="E8A6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855A1"/>
    <w:multiLevelType w:val="hybridMultilevel"/>
    <w:tmpl w:val="8480B6FA"/>
    <w:lvl w:ilvl="0" w:tplc="DAE08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210"/>
    <w:multiLevelType w:val="multilevel"/>
    <w:tmpl w:val="DD2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140E0"/>
    <w:rsid w:val="00017B3A"/>
    <w:rsid w:val="000211E7"/>
    <w:rsid w:val="00036AC1"/>
    <w:rsid w:val="00050C55"/>
    <w:rsid w:val="0005649F"/>
    <w:rsid w:val="0006730B"/>
    <w:rsid w:val="00071418"/>
    <w:rsid w:val="00074FC2"/>
    <w:rsid w:val="00076683"/>
    <w:rsid w:val="0008106D"/>
    <w:rsid w:val="00087903"/>
    <w:rsid w:val="000921CB"/>
    <w:rsid w:val="00093ED6"/>
    <w:rsid w:val="000976C2"/>
    <w:rsid w:val="000A3F4B"/>
    <w:rsid w:val="000B5232"/>
    <w:rsid w:val="000B5533"/>
    <w:rsid w:val="000C6238"/>
    <w:rsid w:val="000C6EFC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BF8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41D5"/>
    <w:rsid w:val="00157E70"/>
    <w:rsid w:val="00160BE3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5F12"/>
    <w:rsid w:val="001C6CFE"/>
    <w:rsid w:val="001D4BA3"/>
    <w:rsid w:val="001D5A77"/>
    <w:rsid w:val="001E0C79"/>
    <w:rsid w:val="001E10DB"/>
    <w:rsid w:val="001E6AE7"/>
    <w:rsid w:val="001F273F"/>
    <w:rsid w:val="001F700A"/>
    <w:rsid w:val="0020192E"/>
    <w:rsid w:val="002059CD"/>
    <w:rsid w:val="0020699C"/>
    <w:rsid w:val="00206F8D"/>
    <w:rsid w:val="00211ADC"/>
    <w:rsid w:val="00214581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06BD"/>
    <w:rsid w:val="00286380"/>
    <w:rsid w:val="00287196"/>
    <w:rsid w:val="002963E1"/>
    <w:rsid w:val="002A0180"/>
    <w:rsid w:val="002A22B2"/>
    <w:rsid w:val="002A6F4F"/>
    <w:rsid w:val="002B644E"/>
    <w:rsid w:val="002B6455"/>
    <w:rsid w:val="002D5A44"/>
    <w:rsid w:val="002E0374"/>
    <w:rsid w:val="002E0A1B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4159F"/>
    <w:rsid w:val="003418CF"/>
    <w:rsid w:val="00342E0B"/>
    <w:rsid w:val="003437FB"/>
    <w:rsid w:val="00343FD3"/>
    <w:rsid w:val="00346EA7"/>
    <w:rsid w:val="00347872"/>
    <w:rsid w:val="00353B81"/>
    <w:rsid w:val="00364D3A"/>
    <w:rsid w:val="00372025"/>
    <w:rsid w:val="0037391E"/>
    <w:rsid w:val="00374800"/>
    <w:rsid w:val="00375356"/>
    <w:rsid w:val="00381594"/>
    <w:rsid w:val="00384F6E"/>
    <w:rsid w:val="003862E4"/>
    <w:rsid w:val="00394631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21CDB"/>
    <w:rsid w:val="004242F1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14B9"/>
    <w:rsid w:val="00527250"/>
    <w:rsid w:val="0053253B"/>
    <w:rsid w:val="0053628D"/>
    <w:rsid w:val="00541A46"/>
    <w:rsid w:val="00542B51"/>
    <w:rsid w:val="00550AAE"/>
    <w:rsid w:val="00553AB1"/>
    <w:rsid w:val="00567EBE"/>
    <w:rsid w:val="00576E8A"/>
    <w:rsid w:val="0058648B"/>
    <w:rsid w:val="00590594"/>
    <w:rsid w:val="00597C5E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02396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4F1B"/>
    <w:rsid w:val="00695F66"/>
    <w:rsid w:val="006977CC"/>
    <w:rsid w:val="006B2D8B"/>
    <w:rsid w:val="006B57FD"/>
    <w:rsid w:val="006B5E92"/>
    <w:rsid w:val="006B60F8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4C4"/>
    <w:rsid w:val="00720F2B"/>
    <w:rsid w:val="00727F85"/>
    <w:rsid w:val="007339AA"/>
    <w:rsid w:val="007347D4"/>
    <w:rsid w:val="00755011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9452E"/>
    <w:rsid w:val="007975BD"/>
    <w:rsid w:val="007A2F2D"/>
    <w:rsid w:val="007A57D1"/>
    <w:rsid w:val="007B185B"/>
    <w:rsid w:val="007B1FB4"/>
    <w:rsid w:val="007B2C32"/>
    <w:rsid w:val="007B515E"/>
    <w:rsid w:val="007B5CF8"/>
    <w:rsid w:val="007B6E4A"/>
    <w:rsid w:val="007C02AF"/>
    <w:rsid w:val="007C3A10"/>
    <w:rsid w:val="007D2A36"/>
    <w:rsid w:val="007E0D0E"/>
    <w:rsid w:val="007E6E7C"/>
    <w:rsid w:val="007E7F5A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2066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16B56"/>
    <w:rsid w:val="00925FA3"/>
    <w:rsid w:val="009279B9"/>
    <w:rsid w:val="009453CE"/>
    <w:rsid w:val="009527F5"/>
    <w:rsid w:val="0095334C"/>
    <w:rsid w:val="00956BE2"/>
    <w:rsid w:val="00957551"/>
    <w:rsid w:val="00960566"/>
    <w:rsid w:val="0098039B"/>
    <w:rsid w:val="00981E1C"/>
    <w:rsid w:val="00982267"/>
    <w:rsid w:val="00982CC7"/>
    <w:rsid w:val="00991636"/>
    <w:rsid w:val="00993573"/>
    <w:rsid w:val="00996932"/>
    <w:rsid w:val="009A4DBC"/>
    <w:rsid w:val="009B03F1"/>
    <w:rsid w:val="009B569A"/>
    <w:rsid w:val="009D2BCC"/>
    <w:rsid w:val="009D483E"/>
    <w:rsid w:val="009D4AE3"/>
    <w:rsid w:val="009F0F1A"/>
    <w:rsid w:val="009F4EDF"/>
    <w:rsid w:val="00A000F4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0333"/>
    <w:rsid w:val="00A768A4"/>
    <w:rsid w:val="00A80663"/>
    <w:rsid w:val="00A907D7"/>
    <w:rsid w:val="00A90948"/>
    <w:rsid w:val="00A946F0"/>
    <w:rsid w:val="00A97B28"/>
    <w:rsid w:val="00AA53C1"/>
    <w:rsid w:val="00AB4CB5"/>
    <w:rsid w:val="00AB5910"/>
    <w:rsid w:val="00AB72A5"/>
    <w:rsid w:val="00AB76CD"/>
    <w:rsid w:val="00AB7BF5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40F3"/>
    <w:rsid w:val="00B27846"/>
    <w:rsid w:val="00B324B1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E346B"/>
    <w:rsid w:val="00BF08BD"/>
    <w:rsid w:val="00BF17EC"/>
    <w:rsid w:val="00BF4B26"/>
    <w:rsid w:val="00BF57DC"/>
    <w:rsid w:val="00C12418"/>
    <w:rsid w:val="00C2183A"/>
    <w:rsid w:val="00C263B0"/>
    <w:rsid w:val="00C26FCD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447B1"/>
    <w:rsid w:val="00D5030D"/>
    <w:rsid w:val="00D5690F"/>
    <w:rsid w:val="00D57854"/>
    <w:rsid w:val="00D64E36"/>
    <w:rsid w:val="00D73888"/>
    <w:rsid w:val="00D804A3"/>
    <w:rsid w:val="00D80D41"/>
    <w:rsid w:val="00D82FEF"/>
    <w:rsid w:val="00D91A1F"/>
    <w:rsid w:val="00D977D0"/>
    <w:rsid w:val="00DA1F5E"/>
    <w:rsid w:val="00DA3F99"/>
    <w:rsid w:val="00DA5F02"/>
    <w:rsid w:val="00DB009E"/>
    <w:rsid w:val="00DB437C"/>
    <w:rsid w:val="00DB450E"/>
    <w:rsid w:val="00DB709B"/>
    <w:rsid w:val="00DC0BEB"/>
    <w:rsid w:val="00DC5B83"/>
    <w:rsid w:val="00DD1D77"/>
    <w:rsid w:val="00DD6932"/>
    <w:rsid w:val="00DF148B"/>
    <w:rsid w:val="00DF4987"/>
    <w:rsid w:val="00E11BB2"/>
    <w:rsid w:val="00E166B5"/>
    <w:rsid w:val="00E177D8"/>
    <w:rsid w:val="00E2148C"/>
    <w:rsid w:val="00E27D11"/>
    <w:rsid w:val="00E35E2D"/>
    <w:rsid w:val="00E36870"/>
    <w:rsid w:val="00E41AE4"/>
    <w:rsid w:val="00E440B6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44A0"/>
    <w:rsid w:val="00EA70C2"/>
    <w:rsid w:val="00EB736C"/>
    <w:rsid w:val="00EC4DE0"/>
    <w:rsid w:val="00EC505E"/>
    <w:rsid w:val="00EC6F3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EF7B75"/>
    <w:rsid w:val="00F1151C"/>
    <w:rsid w:val="00F2395F"/>
    <w:rsid w:val="00F2645B"/>
    <w:rsid w:val="00F276FA"/>
    <w:rsid w:val="00F333AB"/>
    <w:rsid w:val="00F376E8"/>
    <w:rsid w:val="00F45400"/>
    <w:rsid w:val="00F52902"/>
    <w:rsid w:val="00F53AD2"/>
    <w:rsid w:val="00F61002"/>
    <w:rsid w:val="00F71AC1"/>
    <w:rsid w:val="00F74680"/>
    <w:rsid w:val="00F76DAC"/>
    <w:rsid w:val="00F81886"/>
    <w:rsid w:val="00F82BDB"/>
    <w:rsid w:val="00F848EA"/>
    <w:rsid w:val="00F905F4"/>
    <w:rsid w:val="00F90DB4"/>
    <w:rsid w:val="00FB30F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22A34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7F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206F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06F8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rsc.org/en/content/articlelanding/2021/ob/d0ob01971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0.1016/j.bmc.2020.115900" TargetMode="External"/><Relationship Id="rId12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0232601/" TargetMode="External"/><Relationship Id="rId11" Type="http://schemas.openxmlformats.org/officeDocument/2006/relationships/hyperlink" Target="https://www.qub.ac.uk/schools/SchoolofPharmacy/Research/find-a-phd-supervisor/dr-gerd-wagner.html" TargetMode="External"/><Relationship Id="rId5" Type="http://schemas.openxmlformats.org/officeDocument/2006/relationships/hyperlink" Target="https://amr-review.org" TargetMode="External"/><Relationship Id="rId10" Type="http://schemas.openxmlformats.org/officeDocument/2006/relationships/hyperlink" Target="mailto:g.wagner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p.qub.ac.uk/portal/user/u_log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Gerd Wagner</cp:lastModifiedBy>
  <cp:revision>11</cp:revision>
  <cp:lastPrinted>2019-11-05T17:12:00Z</cp:lastPrinted>
  <dcterms:created xsi:type="dcterms:W3CDTF">2021-05-21T12:06:00Z</dcterms:created>
  <dcterms:modified xsi:type="dcterms:W3CDTF">2021-05-28T16:48:00Z</dcterms:modified>
</cp:coreProperties>
</file>