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0ED4" w14:textId="6DAFC7A8" w:rsidR="00695F66" w:rsidRDefault="00695F66" w:rsidP="002C19CC">
      <w:bookmarkStart w:id="0" w:name="_GoBack"/>
      <w:bookmarkEnd w:id="0"/>
      <w:r>
        <w:t xml:space="preserve"> </w:t>
      </w:r>
    </w:p>
    <w:tbl>
      <w:tblPr>
        <w:tblStyle w:val="TableGrid"/>
        <w:tblW w:w="9918" w:type="dxa"/>
        <w:tblLook w:val="04A0" w:firstRow="1" w:lastRow="0" w:firstColumn="1" w:lastColumn="0" w:noHBand="0" w:noVBand="1"/>
      </w:tblPr>
      <w:tblGrid>
        <w:gridCol w:w="1522"/>
        <w:gridCol w:w="8396"/>
      </w:tblGrid>
      <w:tr w:rsidR="007E0599" w14:paraId="470BFEBC" w14:textId="77777777" w:rsidTr="00773C9D">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8396" w:type="dxa"/>
          </w:tcPr>
          <w:p w14:paraId="3E2FB3A8" w14:textId="49AD3798" w:rsidR="001B5748" w:rsidRDefault="00D84587" w:rsidP="00452AD9">
            <w:r>
              <w:t xml:space="preserve">Microneedle delivery of </w:t>
            </w:r>
            <w:r w:rsidR="009D7A9A">
              <w:t xml:space="preserve">non-ribosomal </w:t>
            </w:r>
            <w:r>
              <w:t>antimicrobial peptides to treat multidrug-resistant Gram-negative infections</w:t>
            </w:r>
          </w:p>
        </w:tc>
      </w:tr>
      <w:tr w:rsidR="007E0599" w14:paraId="31C3D3B2" w14:textId="77777777" w:rsidTr="00773C9D">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8396" w:type="dxa"/>
          </w:tcPr>
          <w:p w14:paraId="6995C56D" w14:textId="4F2BA8AB" w:rsidR="007E0599" w:rsidRDefault="007E0599" w:rsidP="00317C62"/>
        </w:tc>
      </w:tr>
      <w:tr w:rsidR="007E0599" w14:paraId="694401E5" w14:textId="77777777" w:rsidTr="00773C9D">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8396" w:type="dxa"/>
          </w:tcPr>
          <w:p w14:paraId="65D9A2B6" w14:textId="27D27D79" w:rsidR="007E0599" w:rsidRDefault="007E0599" w:rsidP="007E0599"/>
        </w:tc>
      </w:tr>
      <w:tr w:rsidR="007E0599" w14:paraId="5E50BAF4" w14:textId="77777777" w:rsidTr="00773C9D">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8396" w:type="dxa"/>
          </w:tcPr>
          <w:p w14:paraId="1BB087A6" w14:textId="51244387" w:rsidR="007E0599" w:rsidRDefault="007E0599" w:rsidP="007E0599"/>
        </w:tc>
      </w:tr>
      <w:tr w:rsidR="003F1182" w14:paraId="67E34D74" w14:textId="77777777" w:rsidTr="00773C9D">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8396" w:type="dxa"/>
          </w:tcPr>
          <w:p w14:paraId="06730849" w14:textId="3D73209B" w:rsidR="003F1182" w:rsidRDefault="0015321D" w:rsidP="0015321D">
            <w:pPr>
              <w:jc w:val="both"/>
            </w:pPr>
            <w:r>
              <w:t xml:space="preserve">The increasing prevalence of infections caused by multidrug-resistant (MDR) bacteria is a major global concern, with global deaths due to </w:t>
            </w:r>
            <w:proofErr w:type="spellStart"/>
            <w:r>
              <w:t>antimicrobrial</w:t>
            </w:r>
            <w:proofErr w:type="spellEnd"/>
            <w:r>
              <w:t xml:space="preserve"> resistance expected to hit </w:t>
            </w:r>
            <w:r w:rsidR="0046390C">
              <w:t>ten</w:t>
            </w:r>
            <w:r>
              <w:t xml:space="preserve"> million per year by 2050. </w:t>
            </w:r>
            <w:r w:rsidR="00376D1D">
              <w:t xml:space="preserve">Gram-negative bacteria are particularly problematic as their outer-membrane renders them immune to many antibiotics, and the World Health Organization has designated the Gram-negative pathogens carbapenem-resistant Enterobacteriaceae, </w:t>
            </w:r>
            <w:r w:rsidR="00376D1D" w:rsidRPr="00376D1D">
              <w:rPr>
                <w:i/>
                <w:iCs/>
              </w:rPr>
              <w:t>Pseudomonas aeruginosa</w:t>
            </w:r>
            <w:r w:rsidR="00376D1D">
              <w:t xml:space="preserve"> and </w:t>
            </w:r>
            <w:r w:rsidR="00376D1D" w:rsidRPr="00376D1D">
              <w:rPr>
                <w:i/>
                <w:iCs/>
              </w:rPr>
              <w:t>Acinetobacter baumannii</w:t>
            </w:r>
            <w:r w:rsidR="00376D1D">
              <w:rPr>
                <w:i/>
                <w:iCs/>
              </w:rPr>
              <w:t xml:space="preserve"> </w:t>
            </w:r>
            <w:r w:rsidR="00376D1D">
              <w:t xml:space="preserve">as critical targets. </w:t>
            </w:r>
            <w:r>
              <w:t>We need novel antibiotics and treatments</w:t>
            </w:r>
            <w:r w:rsidR="0046390C">
              <w:t>.</w:t>
            </w:r>
          </w:p>
          <w:p w14:paraId="6B3FDB47" w14:textId="77777777" w:rsidR="00376D1D" w:rsidRDefault="00376D1D" w:rsidP="0015321D">
            <w:pPr>
              <w:jc w:val="both"/>
            </w:pPr>
          </w:p>
          <w:p w14:paraId="0498C276" w14:textId="10ACBAC2" w:rsidR="00CA56C3" w:rsidRPr="00452E9B" w:rsidRDefault="00B44049" w:rsidP="0015321D">
            <w:pPr>
              <w:jc w:val="both"/>
              <w:rPr>
                <w:rFonts w:ascii="Calibri" w:hAnsi="Calibri" w:cs="Calibri"/>
              </w:rPr>
            </w:pPr>
            <w:r w:rsidRPr="00B44049">
              <w:rPr>
                <w:rFonts w:ascii="Calibri" w:hAnsi="Calibri" w:cs="Calibri"/>
              </w:rPr>
              <w:t>Non-ribosomal antibacterial peptides</w:t>
            </w:r>
            <w:r w:rsidR="00376D1D" w:rsidRPr="00B44049">
              <w:rPr>
                <w:rFonts w:ascii="Calibri" w:hAnsi="Calibri" w:cs="Calibri"/>
              </w:rPr>
              <w:t xml:space="preserve"> (</w:t>
            </w:r>
            <w:r w:rsidRPr="00B44049">
              <w:rPr>
                <w:rFonts w:ascii="Calibri" w:hAnsi="Calibri" w:cs="Calibri"/>
              </w:rPr>
              <w:t>NRA</w:t>
            </w:r>
            <w:r w:rsidR="00376D1D" w:rsidRPr="00B44049">
              <w:rPr>
                <w:rFonts w:ascii="Calibri" w:hAnsi="Calibri" w:cs="Calibri"/>
              </w:rPr>
              <w:t xml:space="preserve">Ps) are a class of compounds that have found special use in the treatment of MDR bacteria. For example, colistin is a last resort antibiotic for the treatment of MDR </w:t>
            </w:r>
            <w:r w:rsidR="00376D1D" w:rsidRPr="00B44049">
              <w:rPr>
                <w:rFonts w:ascii="Calibri" w:hAnsi="Calibri" w:cs="Calibri"/>
                <w:i/>
                <w:iCs/>
              </w:rPr>
              <w:t>P. aeruginosa</w:t>
            </w:r>
            <w:r w:rsidR="00376D1D" w:rsidRPr="00B44049">
              <w:rPr>
                <w:rFonts w:ascii="Calibri" w:hAnsi="Calibri" w:cs="Calibri"/>
              </w:rPr>
              <w:t xml:space="preserve">, </w:t>
            </w:r>
            <w:r w:rsidR="00376D1D" w:rsidRPr="00B44049">
              <w:rPr>
                <w:rFonts w:ascii="Calibri" w:hAnsi="Calibri" w:cs="Calibri"/>
                <w:i/>
                <w:iCs/>
              </w:rPr>
              <w:t>Klebsiella pneumoniae</w:t>
            </w:r>
            <w:r w:rsidR="00376D1D" w:rsidRPr="00B44049">
              <w:rPr>
                <w:rFonts w:ascii="Calibri" w:hAnsi="Calibri" w:cs="Calibri"/>
              </w:rPr>
              <w:t xml:space="preserve"> and </w:t>
            </w:r>
            <w:r w:rsidR="00376D1D" w:rsidRPr="00B44049">
              <w:rPr>
                <w:rFonts w:ascii="Calibri" w:hAnsi="Calibri" w:cs="Calibri"/>
                <w:i/>
                <w:iCs/>
              </w:rPr>
              <w:t>Acinetobacter</w:t>
            </w:r>
            <w:r w:rsidR="00376D1D" w:rsidRPr="00B44049">
              <w:rPr>
                <w:rFonts w:ascii="Calibri" w:hAnsi="Calibri" w:cs="Calibri"/>
              </w:rPr>
              <w:t xml:space="preserve"> infections</w:t>
            </w:r>
            <w:r w:rsidRPr="00B44049">
              <w:rPr>
                <w:rFonts w:ascii="Calibri" w:hAnsi="Calibri" w:cs="Calibri"/>
              </w:rPr>
              <w:t>, and daptomycin is a key antibiotic for treating MDR enterococci.</w:t>
            </w:r>
            <w:r>
              <w:rPr>
                <w:rFonts w:ascii="Calibri" w:hAnsi="Calibri" w:cs="Calibri"/>
              </w:rPr>
              <w:t xml:space="preserve"> They typically kill bacteria through interactions with non-protein membrane targets, and are therefore less susceptible to many common resistance mechanisms. However, NRAPs </w:t>
            </w:r>
            <w:r w:rsidR="00CA56C3">
              <w:rPr>
                <w:rFonts w:ascii="Calibri" w:hAnsi="Calibri" w:cs="Calibri"/>
              </w:rPr>
              <w:t>like colistin can cause neurotoxicity and nephrotoxicity when administered intravenously. An alternative, slow release method may circumvent this problem, providing a novel treatment against critical priority pathogens.</w:t>
            </w:r>
            <w:r w:rsidR="00452E9B">
              <w:rPr>
                <w:rFonts w:ascii="Calibri" w:hAnsi="Calibri" w:cs="Calibri"/>
              </w:rPr>
              <w:t xml:space="preserve"> </w:t>
            </w:r>
            <w:r w:rsidR="00CA56C3" w:rsidRPr="00066CAE">
              <w:t>Microneedle</w:t>
            </w:r>
            <w:r w:rsidR="00066CAE" w:rsidRPr="00066CAE">
              <w:t xml:space="preserve"> arrays allow delivery of injectable medicines through the skin without causing pain or bleeding. They </w:t>
            </w:r>
            <w:r w:rsidR="00452E9B">
              <w:t xml:space="preserve">are </w:t>
            </w:r>
            <w:r w:rsidR="00CA56C3" w:rsidRPr="00066CAE">
              <w:t>s</w:t>
            </w:r>
            <w:r w:rsidR="00066CAE" w:rsidRPr="00066CAE">
              <w:t>elf-applied by the patient and can be designed to sustain release over several days</w:t>
            </w:r>
          </w:p>
          <w:p w14:paraId="5F523D39" w14:textId="77777777" w:rsidR="00FF7783" w:rsidRDefault="00FF7783" w:rsidP="0015321D">
            <w:pPr>
              <w:jc w:val="both"/>
            </w:pPr>
          </w:p>
          <w:p w14:paraId="237558FB" w14:textId="453ADC53" w:rsidR="00CA56C3" w:rsidRDefault="00CA56C3" w:rsidP="00066CAE">
            <w:pPr>
              <w:jc w:val="both"/>
            </w:pPr>
            <w:r>
              <w:t xml:space="preserve">This interdisciplinary project will involve peptide synthesis, polymer synthesis, antimicrobial efficacy assays and pharmacokinetic/pharmacodynamic studies. A series of novel NRAPs will be chemically synthesized and tested in </w:t>
            </w:r>
            <w:r w:rsidR="00066CAE">
              <w:t xml:space="preserve">advanced </w:t>
            </w:r>
            <w:r w:rsidR="00066CAE" w:rsidRPr="00066CAE">
              <w:rPr>
                <w:i/>
              </w:rPr>
              <w:t>in vitro</w:t>
            </w:r>
            <w:r w:rsidR="00066CAE">
              <w:t xml:space="preserve"> biological models</w:t>
            </w:r>
            <w:r>
              <w:t xml:space="preserve"> to ascertain their efficacy against </w:t>
            </w:r>
            <w:r w:rsidR="0046390C">
              <w:t>MDR Gram-negative bacteria</w:t>
            </w:r>
            <w:r w:rsidR="00066CAE">
              <w:t xml:space="preserve"> and safety with respect to normal human cells</w:t>
            </w:r>
            <w:r w:rsidR="0046390C">
              <w:t xml:space="preserve">. </w:t>
            </w:r>
            <w:r w:rsidR="00066CAE" w:rsidRPr="00066CAE">
              <w:rPr>
                <w:i/>
              </w:rPr>
              <w:t>In vivo</w:t>
            </w:r>
            <w:r w:rsidR="00066CAE">
              <w:t xml:space="preserve"> animal pharmacokinetic and infection studies will </w:t>
            </w:r>
            <w:proofErr w:type="spellStart"/>
            <w:r w:rsidR="00066CAE">
              <w:t>demonstare</w:t>
            </w:r>
            <w:proofErr w:type="spellEnd"/>
            <w:r w:rsidR="00066CAE">
              <w:t xml:space="preserve"> the clinical potential of these novel NRAP-microneedle combinations.</w:t>
            </w:r>
          </w:p>
        </w:tc>
      </w:tr>
      <w:tr w:rsidR="003F1182" w14:paraId="10C0BBE2" w14:textId="77777777" w:rsidTr="00773C9D">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8396" w:type="dxa"/>
          </w:tcPr>
          <w:p w14:paraId="6D586F6B" w14:textId="77777777" w:rsidR="0046390C" w:rsidRDefault="0046390C" w:rsidP="00897021">
            <w:r>
              <w:t>Dr Stephen Cochrane, School of Chemistry</w:t>
            </w:r>
          </w:p>
          <w:p w14:paraId="489ED791" w14:textId="74B75E05" w:rsidR="009D7A9A" w:rsidRPr="007F3CD9" w:rsidRDefault="009D7A9A" w:rsidP="00897021">
            <w:r>
              <w:t>Professor Ryan Donnelly, School of Pharmacy</w:t>
            </w:r>
          </w:p>
        </w:tc>
      </w:tr>
      <w:tr w:rsidR="003F1182" w14:paraId="2D0B7AA3" w14:textId="77777777" w:rsidTr="00773C9D">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8396" w:type="dxa"/>
          </w:tcPr>
          <w:p w14:paraId="59910F79" w14:textId="737BF737" w:rsidR="003F1182" w:rsidRPr="007F3CD9" w:rsidRDefault="00B5079E" w:rsidP="003F1182">
            <w:r>
              <w:t xml:space="preserve">International Scholarship, International self-funding </w:t>
            </w:r>
            <w:r w:rsidR="00773C9D">
              <w:t xml:space="preserve"> </w:t>
            </w:r>
          </w:p>
        </w:tc>
      </w:tr>
      <w:tr w:rsidR="003F1182" w14:paraId="113345A0" w14:textId="77777777" w:rsidTr="00773C9D">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8396" w:type="dxa"/>
          </w:tcPr>
          <w:p w14:paraId="5A4481C5" w14:textId="20190E2C" w:rsidR="003F1182" w:rsidRDefault="003F1182" w:rsidP="003F1182"/>
        </w:tc>
      </w:tr>
      <w:tr w:rsidR="003F1182" w14:paraId="78BDF1FD" w14:textId="77777777" w:rsidTr="00773C9D">
        <w:trPr>
          <w:trHeight w:val="630"/>
        </w:trPr>
        <w:tc>
          <w:tcPr>
            <w:tcW w:w="1522" w:type="dxa"/>
            <w:shd w:val="clear" w:color="auto" w:fill="DEEAF6" w:themeFill="accent1" w:themeFillTint="33"/>
          </w:tcPr>
          <w:p w14:paraId="7702C38B" w14:textId="77777777" w:rsidR="003F1182" w:rsidRDefault="003F1182" w:rsidP="003F1182">
            <w:pPr>
              <w:rPr>
                <w:b/>
              </w:rPr>
            </w:pPr>
            <w:r>
              <w:rPr>
                <w:b/>
              </w:rPr>
              <w:t xml:space="preserve">*Start date and duration </w:t>
            </w:r>
          </w:p>
        </w:tc>
        <w:tc>
          <w:tcPr>
            <w:tcW w:w="8396" w:type="dxa"/>
          </w:tcPr>
          <w:p w14:paraId="72C13292" w14:textId="1C2F9D3D" w:rsidR="003F1182" w:rsidRDefault="00B071EB" w:rsidP="003F1182">
            <w:r>
              <w:t>September 2022</w:t>
            </w:r>
          </w:p>
        </w:tc>
      </w:tr>
      <w:tr w:rsidR="003F1182" w14:paraId="5BE00321" w14:textId="77777777" w:rsidTr="00773C9D">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8396" w:type="dxa"/>
          </w:tcPr>
          <w:p w14:paraId="5FEE8137" w14:textId="6F3BA4DC" w:rsidR="003F1182" w:rsidRDefault="00773C9D" w:rsidP="003F1182">
            <w:r>
              <w:t>Medicine Health and Life Sciences</w:t>
            </w:r>
            <w:r w:rsidR="00452AD9">
              <w:t xml:space="preserve"> / Engineering and Physical Sciences </w:t>
            </w:r>
          </w:p>
        </w:tc>
      </w:tr>
      <w:tr w:rsidR="003F1182" w14:paraId="2FD6EA6E" w14:textId="77777777" w:rsidTr="00773C9D">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8396" w:type="dxa"/>
          </w:tcPr>
          <w:p w14:paraId="59A1D0DF" w14:textId="51CBCC39" w:rsidR="003F1182" w:rsidRDefault="00317C62" w:rsidP="003F1182">
            <w:r>
              <w:t>School of Pharmacy</w:t>
            </w:r>
            <w:r w:rsidR="00452AD9">
              <w:t xml:space="preserve"> / School of Chemistry</w:t>
            </w:r>
          </w:p>
        </w:tc>
      </w:tr>
      <w:tr w:rsidR="003F1182" w14:paraId="7931EE40" w14:textId="77777777" w:rsidTr="00773C9D">
        <w:trPr>
          <w:trHeight w:val="470"/>
        </w:trPr>
        <w:tc>
          <w:tcPr>
            <w:tcW w:w="1522" w:type="dxa"/>
            <w:shd w:val="clear" w:color="auto" w:fill="DEEAF6" w:themeFill="accent1" w:themeFillTint="33"/>
          </w:tcPr>
          <w:p w14:paraId="62EC5B9F" w14:textId="77777777" w:rsidR="003F1182" w:rsidRDefault="003F1182" w:rsidP="003F1182">
            <w:pPr>
              <w:rPr>
                <w:b/>
              </w:rPr>
            </w:pPr>
            <w:r>
              <w:rPr>
                <w:b/>
              </w:rPr>
              <w:lastRenderedPageBreak/>
              <w:t>Subject area</w:t>
            </w:r>
          </w:p>
        </w:tc>
        <w:tc>
          <w:tcPr>
            <w:tcW w:w="8396" w:type="dxa"/>
          </w:tcPr>
          <w:p w14:paraId="2083BE8D" w14:textId="6592FA27" w:rsidR="003F1182" w:rsidRDefault="003F1182" w:rsidP="003F1182"/>
        </w:tc>
      </w:tr>
      <w:tr w:rsidR="003F1182" w14:paraId="4927DD08" w14:textId="77777777" w:rsidTr="00773C9D">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8396" w:type="dxa"/>
          </w:tcPr>
          <w:p w14:paraId="295BFDE4" w14:textId="77777777" w:rsidR="003F1182" w:rsidRPr="007C3A10" w:rsidRDefault="003F1182" w:rsidP="003F1182">
            <w:r w:rsidRPr="007C3A10">
              <w:rPr>
                <w:rFonts w:cs="Arial"/>
              </w:rPr>
              <w:t>Applicants should have a 1st or 2.1 honours degree (or equivalent) in a relevant subject. Relevant subjects include Pharmacy, Molecular Biology,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73C9D">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8396" w:type="dxa"/>
          </w:tcPr>
          <w:p w14:paraId="492A9368" w14:textId="77777777" w:rsidR="003F1182" w:rsidRDefault="003F1182" w:rsidP="003F1182"/>
        </w:tc>
      </w:tr>
      <w:tr w:rsidR="003F1182" w14:paraId="3DA8871F" w14:textId="77777777" w:rsidTr="00773C9D">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8396" w:type="dxa"/>
          </w:tcPr>
          <w:p w14:paraId="16688B16" w14:textId="15A70791" w:rsidR="003F1182" w:rsidRPr="0046390C" w:rsidRDefault="00B5079E" w:rsidP="003F1182">
            <w:pPr>
              <w:rPr>
                <w:color w:val="FF0000"/>
              </w:rPr>
            </w:pPr>
            <w:r>
              <w:t>All postgraduate r</w:t>
            </w:r>
            <w:r w:rsidR="003F1182" w:rsidRPr="007F3CD9">
              <w:t>esearch applicants</w:t>
            </w:r>
            <w:r w:rsidR="003F1182">
              <w:t xml:space="preserve"> </w:t>
            </w:r>
            <w:r>
              <w:t>who are interested in the project</w:t>
            </w:r>
            <w:r w:rsidR="00B25E6E">
              <w:t xml:space="preserve"> must submit an application </w:t>
            </w:r>
            <w:r w:rsidR="00B25E6E" w:rsidRPr="007F3CD9">
              <w:t>all required supporting documents</w:t>
            </w:r>
            <w:r w:rsidR="003F1182" w:rsidRPr="007F3CD9">
              <w:t xml:space="preserve"> via</w:t>
            </w:r>
            <w:r w:rsidR="00B25E6E">
              <w:t xml:space="preserve"> the Direct A</w:t>
            </w:r>
            <w:r w:rsidR="00452AD9">
              <w:t>pplications Portal (link below)</w:t>
            </w:r>
            <w:r w:rsidR="00B25E6E">
              <w:rPr>
                <w:b/>
              </w:rPr>
              <w:t xml:space="preserve">. </w:t>
            </w:r>
            <w:r w:rsidR="00B25E6E">
              <w:t xml:space="preserve">Any interested applicants can informally contact </w:t>
            </w:r>
            <w:r w:rsidR="0046390C">
              <w:t>Dr Cochrane by email at</w:t>
            </w:r>
            <w:r w:rsidR="00B25E6E">
              <w:t xml:space="preserve"> </w:t>
            </w:r>
            <w:hyperlink r:id="rId5" w:history="1">
              <w:r w:rsidR="0046390C" w:rsidRPr="00F20622">
                <w:rPr>
                  <w:rStyle w:val="Hyperlink"/>
                </w:rPr>
                <w:t>s.cochrane@qub.ac.uk</w:t>
              </w:r>
            </w:hyperlink>
            <w:r w:rsidR="009D7A9A">
              <w:t xml:space="preserve"> and Prof. Donnelly by email at </w:t>
            </w:r>
            <w:hyperlink r:id="rId6" w:history="1">
              <w:r w:rsidR="009D7A9A" w:rsidRPr="00F20622">
                <w:rPr>
                  <w:rStyle w:val="Hyperlink"/>
                </w:rPr>
                <w:t>r.donnelly@qub.ac.uk</w:t>
              </w:r>
            </w:hyperlink>
            <w:r w:rsidR="009D7A9A">
              <w:t>.</w:t>
            </w:r>
          </w:p>
          <w:p w14:paraId="43AC971F" w14:textId="77777777" w:rsidR="003F1182" w:rsidRDefault="003F1182" w:rsidP="003F1182"/>
          <w:p w14:paraId="4F2E48B7" w14:textId="77777777" w:rsidR="003F1182" w:rsidRDefault="002C19CC" w:rsidP="003F1182">
            <w:hyperlink r:id="rId7" w:history="1">
              <w:r w:rsidR="003F1182" w:rsidRPr="00920649">
                <w:rPr>
                  <w:rStyle w:val="Hyperlink"/>
                </w:rPr>
                <w:t>https://dap.qub.ac.uk/portal/user/u_login.php</w:t>
              </w:r>
            </w:hyperlink>
            <w:r w:rsidR="003F1182">
              <w:t xml:space="preserve"> </w:t>
            </w:r>
            <w:r w:rsidR="003F1182">
              <w:br/>
            </w:r>
          </w:p>
        </w:tc>
      </w:tr>
      <w:tr w:rsidR="003F1182" w14:paraId="1E02E220" w14:textId="77777777" w:rsidTr="00773C9D">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8396" w:type="dxa"/>
          </w:tcPr>
          <w:p w14:paraId="29E92652" w14:textId="77777777" w:rsidR="003F1182" w:rsidRDefault="003F1182" w:rsidP="003F1182"/>
          <w:p w14:paraId="706FD4C7" w14:textId="77777777" w:rsidR="003F1182" w:rsidRDefault="002C19CC" w:rsidP="003F1182">
            <w:hyperlink r:id="rId8"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5D81F64B" w:rsidR="003F1182" w:rsidRDefault="002C19CC" w:rsidP="003F1182">
            <w:pPr>
              <w:rPr>
                <w:rStyle w:val="Hyperlink"/>
              </w:rPr>
            </w:pPr>
            <w:hyperlink r:id="rId9" w:history="1">
              <w:r w:rsidR="003F1182" w:rsidRPr="00810712">
                <w:rPr>
                  <w:rStyle w:val="Hyperlink"/>
                </w:rPr>
                <w:t>http://www.qub.ac.uk/schools/SchoolofPharmacy/Research/</w:t>
              </w:r>
            </w:hyperlink>
          </w:p>
          <w:p w14:paraId="5DD27E99" w14:textId="6F4FAE3D" w:rsidR="00773C9D" w:rsidRDefault="00773C9D" w:rsidP="003F1182">
            <w:pPr>
              <w:rPr>
                <w:rStyle w:val="Hyperlink"/>
              </w:rPr>
            </w:pPr>
          </w:p>
          <w:p w14:paraId="727E4A0C" w14:textId="72BA6CF1" w:rsidR="00773C9D" w:rsidRDefault="002C19CC" w:rsidP="003F1182">
            <w:pPr>
              <w:rPr>
                <w:rStyle w:val="Hyperlink"/>
              </w:rPr>
            </w:pPr>
            <w:hyperlink r:id="rId10" w:history="1">
              <w:r w:rsidR="00773C9D" w:rsidRPr="00E511B7">
                <w:rPr>
                  <w:rStyle w:val="Hyperlink"/>
                </w:rPr>
                <w:t>https://www.qub.ac.uk/schools/SchoolofPharmacy/Research/ResearchThemes/</w:t>
              </w:r>
            </w:hyperlink>
          </w:p>
          <w:p w14:paraId="5EDC4143" w14:textId="74F2479E" w:rsidR="00773C9D" w:rsidRDefault="00773C9D" w:rsidP="003F1182">
            <w:pPr>
              <w:rPr>
                <w:rStyle w:val="Hyperlink"/>
              </w:rPr>
            </w:pPr>
            <w:proofErr w:type="spellStart"/>
            <w:r w:rsidRPr="00773C9D">
              <w:rPr>
                <w:rStyle w:val="Hyperlink"/>
              </w:rPr>
              <w:t>NanomedicineandBiotherapeutics</w:t>
            </w:r>
            <w:proofErr w:type="spellEnd"/>
            <w:r w:rsidRPr="00773C9D">
              <w:rPr>
                <w:rStyle w:val="Hyperlink"/>
              </w:rPr>
              <w:t>/</w:t>
            </w:r>
          </w:p>
          <w:p w14:paraId="2F219975" w14:textId="77777777" w:rsidR="003F1182" w:rsidRDefault="003F1182" w:rsidP="00124DE3">
            <w:pPr>
              <w:rPr>
                <w:rStyle w:val="Hyperlink"/>
              </w:rPr>
            </w:pPr>
          </w:p>
          <w:p w14:paraId="2F851F5E" w14:textId="77777777" w:rsidR="00124DE3" w:rsidRDefault="00124DE3" w:rsidP="00124DE3">
            <w:hyperlink r:id="rId11" w:history="1">
              <w:r w:rsidRPr="009C4896">
                <w:rPr>
                  <w:rStyle w:val="Hyperlink"/>
                </w:rPr>
                <w:t>https://www.qub.ac.uk/schools/SchoolofPharmacy/Research/find-a-phd-supervisor/professor-ryan-donnelly.html</w:t>
              </w:r>
            </w:hyperlink>
            <w:r>
              <w:t xml:space="preserve"> </w:t>
            </w:r>
          </w:p>
          <w:p w14:paraId="5C254CDF" w14:textId="3858536C" w:rsidR="00124DE3" w:rsidRDefault="00124DE3" w:rsidP="00124DE3"/>
        </w:tc>
      </w:tr>
      <w:tr w:rsidR="003F1182" w14:paraId="6FA54374" w14:textId="77777777" w:rsidTr="00773C9D">
        <w:trPr>
          <w:trHeight w:val="576"/>
        </w:trPr>
        <w:tc>
          <w:tcPr>
            <w:tcW w:w="1522" w:type="dxa"/>
            <w:shd w:val="clear" w:color="auto" w:fill="DEEAF6" w:themeFill="accent1" w:themeFillTint="33"/>
          </w:tcPr>
          <w:p w14:paraId="6FA9BAAB" w14:textId="77777777" w:rsidR="003F1182" w:rsidRDefault="003F1182" w:rsidP="003F1182">
            <w:pPr>
              <w:rPr>
                <w:b/>
              </w:rPr>
            </w:pPr>
            <w:r>
              <w:rPr>
                <w:b/>
              </w:rPr>
              <w:t>Keywords for search filters</w:t>
            </w:r>
          </w:p>
        </w:tc>
        <w:tc>
          <w:tcPr>
            <w:tcW w:w="8396" w:type="dxa"/>
          </w:tcPr>
          <w:p w14:paraId="5D6B122D" w14:textId="176537D2" w:rsidR="003F1182" w:rsidRDefault="00A60DE7" w:rsidP="00897021">
            <w:r>
              <w:t>Antibiotics; peptide synthesis; antimicrobial peptides; microneedles; organic synthesis</w:t>
            </w:r>
          </w:p>
        </w:tc>
      </w:tr>
      <w:tr w:rsidR="00DE3E0F" w14:paraId="46E95240" w14:textId="77777777" w:rsidTr="00773C9D">
        <w:trPr>
          <w:trHeight w:val="470"/>
        </w:trPr>
        <w:tc>
          <w:tcPr>
            <w:tcW w:w="1522" w:type="dxa"/>
            <w:shd w:val="clear" w:color="auto" w:fill="DEEAF6" w:themeFill="accent1" w:themeFillTint="33"/>
          </w:tcPr>
          <w:p w14:paraId="3219A3B1" w14:textId="77777777" w:rsidR="00DE3E0F" w:rsidRDefault="00DE3E0F" w:rsidP="00DE3E0F">
            <w:pPr>
              <w:rPr>
                <w:b/>
              </w:rPr>
            </w:pPr>
            <w:r>
              <w:rPr>
                <w:b/>
              </w:rPr>
              <w:t>Training provided through the research project</w:t>
            </w:r>
          </w:p>
        </w:tc>
        <w:tc>
          <w:tcPr>
            <w:tcW w:w="8396" w:type="dxa"/>
          </w:tcPr>
          <w:p w14:paraId="02EC8650" w14:textId="765B8647" w:rsidR="00DE3E0F" w:rsidRDefault="00A60DE7" w:rsidP="00066CAE">
            <w:pPr>
              <w:jc w:val="both"/>
            </w:pPr>
            <w:r>
              <w:t xml:space="preserve">Synthesis of peptides by manual and automated peptide synthesis, purification of synthetic compounds by HPLC, analysis of synthetic compounds by NMR and mass spec, antibacterial susceptibility assays, </w:t>
            </w:r>
            <w:r w:rsidR="00066CAE">
              <w:t>pharmaceutical formulation, analysis and engineering</w:t>
            </w:r>
          </w:p>
        </w:tc>
      </w:tr>
      <w:tr w:rsidR="00DE3E0F" w14:paraId="731DC994" w14:textId="77777777" w:rsidTr="00773C9D">
        <w:trPr>
          <w:trHeight w:val="470"/>
        </w:trPr>
        <w:tc>
          <w:tcPr>
            <w:tcW w:w="1522" w:type="dxa"/>
            <w:shd w:val="clear" w:color="auto" w:fill="DEEAF6" w:themeFill="accent1" w:themeFillTint="33"/>
          </w:tcPr>
          <w:p w14:paraId="00053B05" w14:textId="77777777" w:rsidR="00DE3E0F" w:rsidRDefault="00DE3E0F" w:rsidP="00DE3E0F">
            <w:pPr>
              <w:rPr>
                <w:b/>
              </w:rPr>
            </w:pPr>
            <w:r>
              <w:rPr>
                <w:b/>
              </w:rPr>
              <w:t>Expected impact activities</w:t>
            </w:r>
          </w:p>
        </w:tc>
        <w:tc>
          <w:tcPr>
            <w:tcW w:w="8396" w:type="dxa"/>
          </w:tcPr>
          <w:p w14:paraId="27B558D6" w14:textId="0DEF81CE" w:rsidR="00DE3E0F" w:rsidRDefault="00066CAE" w:rsidP="00066CAE">
            <w:pPr>
              <w:jc w:val="both"/>
            </w:pPr>
            <w:r>
              <w:t xml:space="preserve">Demonstration of promising </w:t>
            </w:r>
            <w:proofErr w:type="spellStart"/>
            <w:r>
              <w:t>antimicrbial</w:t>
            </w:r>
            <w:proofErr w:type="spellEnd"/>
            <w:r>
              <w:t xml:space="preserve"> activity may lead to interest from the pharmaceutical industry, where development of new antibiotic classes and appropriate administration methods for difficult-to-deliver antibiotics are both in need of new innovative approaches. The supervisors have extensive experience of industrial engagement and promising data emanating from this project will be made available to potential industrial partners once intellectual property is protected</w:t>
            </w:r>
            <w:r w:rsidR="00FF7783">
              <w:t>, thus providing further potential opportunities for the student.</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5207A"/>
    <w:rsid w:val="0006380D"/>
    <w:rsid w:val="00066CAE"/>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4DE3"/>
    <w:rsid w:val="00125BB4"/>
    <w:rsid w:val="00127B6D"/>
    <w:rsid w:val="0013226E"/>
    <w:rsid w:val="00133C78"/>
    <w:rsid w:val="00136716"/>
    <w:rsid w:val="00136A7C"/>
    <w:rsid w:val="0014119A"/>
    <w:rsid w:val="00147201"/>
    <w:rsid w:val="00152845"/>
    <w:rsid w:val="00152DAA"/>
    <w:rsid w:val="00152DD3"/>
    <w:rsid w:val="0015321D"/>
    <w:rsid w:val="00157E70"/>
    <w:rsid w:val="001757EF"/>
    <w:rsid w:val="001865C3"/>
    <w:rsid w:val="00190974"/>
    <w:rsid w:val="001976E1"/>
    <w:rsid w:val="001A466A"/>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5AED"/>
    <w:rsid w:val="001F700A"/>
    <w:rsid w:val="0020192E"/>
    <w:rsid w:val="00201BD9"/>
    <w:rsid w:val="0020699C"/>
    <w:rsid w:val="002110A7"/>
    <w:rsid w:val="00211ADC"/>
    <w:rsid w:val="0023305E"/>
    <w:rsid w:val="00234A97"/>
    <w:rsid w:val="002438AA"/>
    <w:rsid w:val="0024565D"/>
    <w:rsid w:val="00246C74"/>
    <w:rsid w:val="002663D0"/>
    <w:rsid w:val="002679A5"/>
    <w:rsid w:val="00270CA4"/>
    <w:rsid w:val="00275E36"/>
    <w:rsid w:val="00276A24"/>
    <w:rsid w:val="00286380"/>
    <w:rsid w:val="00287196"/>
    <w:rsid w:val="002963E1"/>
    <w:rsid w:val="002A0180"/>
    <w:rsid w:val="002A22B2"/>
    <w:rsid w:val="002A6769"/>
    <w:rsid w:val="002A6F4F"/>
    <w:rsid w:val="002B644E"/>
    <w:rsid w:val="002B6455"/>
    <w:rsid w:val="002C19CC"/>
    <w:rsid w:val="002D30A7"/>
    <w:rsid w:val="002E0374"/>
    <w:rsid w:val="002E219E"/>
    <w:rsid w:val="002E6701"/>
    <w:rsid w:val="002F06D8"/>
    <w:rsid w:val="002F38B4"/>
    <w:rsid w:val="002F3D8F"/>
    <w:rsid w:val="00300B77"/>
    <w:rsid w:val="00303DAB"/>
    <w:rsid w:val="00307A16"/>
    <w:rsid w:val="00312241"/>
    <w:rsid w:val="00315F1B"/>
    <w:rsid w:val="00317C62"/>
    <w:rsid w:val="00322E90"/>
    <w:rsid w:val="003375F5"/>
    <w:rsid w:val="0034159F"/>
    <w:rsid w:val="003418CF"/>
    <w:rsid w:val="00342E0B"/>
    <w:rsid w:val="003437FB"/>
    <w:rsid w:val="00346EA7"/>
    <w:rsid w:val="00347872"/>
    <w:rsid w:val="00353B81"/>
    <w:rsid w:val="0036592A"/>
    <w:rsid w:val="0037391E"/>
    <w:rsid w:val="00374800"/>
    <w:rsid w:val="00375356"/>
    <w:rsid w:val="00376D1D"/>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52AD9"/>
    <w:rsid w:val="00452E9B"/>
    <w:rsid w:val="0046390C"/>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1ED1"/>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E4BD6"/>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3C9D"/>
    <w:rsid w:val="00776188"/>
    <w:rsid w:val="00776A5D"/>
    <w:rsid w:val="00781A8B"/>
    <w:rsid w:val="00781ED6"/>
    <w:rsid w:val="00791B40"/>
    <w:rsid w:val="00793FA5"/>
    <w:rsid w:val="007A62B0"/>
    <w:rsid w:val="007A73EB"/>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0A08"/>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6381"/>
    <w:rsid w:val="00897021"/>
    <w:rsid w:val="00897BAA"/>
    <w:rsid w:val="008A002F"/>
    <w:rsid w:val="008C083D"/>
    <w:rsid w:val="008F1C24"/>
    <w:rsid w:val="008F7100"/>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D7A9A"/>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0DE7"/>
    <w:rsid w:val="00A61746"/>
    <w:rsid w:val="00A63CD4"/>
    <w:rsid w:val="00A768A4"/>
    <w:rsid w:val="00A907D7"/>
    <w:rsid w:val="00A90948"/>
    <w:rsid w:val="00A946F0"/>
    <w:rsid w:val="00AA53C1"/>
    <w:rsid w:val="00AB1FFD"/>
    <w:rsid w:val="00AB4CB5"/>
    <w:rsid w:val="00AB72A5"/>
    <w:rsid w:val="00AB76CD"/>
    <w:rsid w:val="00AC07AE"/>
    <w:rsid w:val="00AC1FE9"/>
    <w:rsid w:val="00AD429E"/>
    <w:rsid w:val="00AD6DB6"/>
    <w:rsid w:val="00AE15FE"/>
    <w:rsid w:val="00AF3133"/>
    <w:rsid w:val="00AF78E5"/>
    <w:rsid w:val="00B030A3"/>
    <w:rsid w:val="00B071EB"/>
    <w:rsid w:val="00B07BDF"/>
    <w:rsid w:val="00B1507C"/>
    <w:rsid w:val="00B160F9"/>
    <w:rsid w:val="00B16E01"/>
    <w:rsid w:val="00B21B3C"/>
    <w:rsid w:val="00B25E6E"/>
    <w:rsid w:val="00B27846"/>
    <w:rsid w:val="00B359EF"/>
    <w:rsid w:val="00B363F2"/>
    <w:rsid w:val="00B40805"/>
    <w:rsid w:val="00B40C54"/>
    <w:rsid w:val="00B4262C"/>
    <w:rsid w:val="00B42F58"/>
    <w:rsid w:val="00B44049"/>
    <w:rsid w:val="00B44FF9"/>
    <w:rsid w:val="00B47154"/>
    <w:rsid w:val="00B5079E"/>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56C3"/>
    <w:rsid w:val="00CA70D8"/>
    <w:rsid w:val="00CB3D31"/>
    <w:rsid w:val="00CC02B2"/>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33B2"/>
    <w:rsid w:val="00D5690F"/>
    <w:rsid w:val="00D57854"/>
    <w:rsid w:val="00D64E36"/>
    <w:rsid w:val="00D804A3"/>
    <w:rsid w:val="00D80D41"/>
    <w:rsid w:val="00D82FEF"/>
    <w:rsid w:val="00D84587"/>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2C6C"/>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B3D85"/>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3D4A"/>
    <w:rsid w:val="00F74680"/>
    <w:rsid w:val="00F76DAC"/>
    <w:rsid w:val="00F81886"/>
    <w:rsid w:val="00F82BDB"/>
    <w:rsid w:val="00F848EA"/>
    <w:rsid w:val="00F90DB4"/>
    <w:rsid w:val="00FA546D"/>
    <w:rsid w:val="00FB3233"/>
    <w:rsid w:val="00FB6942"/>
    <w:rsid w:val="00FC08F5"/>
    <w:rsid w:val="00FC2092"/>
    <w:rsid w:val="00FC4575"/>
    <w:rsid w:val="00FD0D59"/>
    <w:rsid w:val="00FD37C6"/>
    <w:rsid w:val="00FD72DC"/>
    <w:rsid w:val="00FE66B6"/>
    <w:rsid w:val="00FF77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 w:type="paragraph" w:customStyle="1" w:styleId="TableParagraph">
    <w:name w:val="Table Paragraph"/>
    <w:basedOn w:val="Normal"/>
    <w:uiPriority w:val="1"/>
    <w:qFormat/>
    <w:rsid w:val="00AB1FF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73C9D"/>
    <w:rPr>
      <w:color w:val="605E5C"/>
      <w:shd w:val="clear" w:color="auto" w:fill="E1DFDD"/>
    </w:rPr>
  </w:style>
  <w:style w:type="character" w:styleId="Strong">
    <w:name w:val="Strong"/>
    <w:basedOn w:val="DefaultParagraphFont"/>
    <w:uiPriority w:val="22"/>
    <w:qFormat/>
    <w:rsid w:val="00246C74"/>
    <w:rPr>
      <w:b/>
      <w:bCs/>
    </w:rPr>
  </w:style>
  <w:style w:type="character" w:customStyle="1" w:styleId="UnresolvedMention2">
    <w:name w:val="Unresolved Mention2"/>
    <w:basedOn w:val="DefaultParagraphFont"/>
    <w:uiPriority w:val="99"/>
    <w:semiHidden/>
    <w:unhideWhenUsed/>
    <w:rsid w:val="00463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PostgraduatePosi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p.qub.ac.uk/portal/user/u_login.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onnelly@qub.ac.uk" TargetMode="External"/><Relationship Id="rId11" Type="http://schemas.openxmlformats.org/officeDocument/2006/relationships/hyperlink" Target="https://www.qub.ac.uk/schools/SchoolofPharmacy/Research/find-a-phd-supervisor/professor-ryan-donnelly.html" TargetMode="External"/><Relationship Id="rId5" Type="http://schemas.openxmlformats.org/officeDocument/2006/relationships/hyperlink" Target="mailto:s.cochrane@qub.ac.uk" TargetMode="External"/><Relationship Id="rId10" Type="http://schemas.openxmlformats.org/officeDocument/2006/relationships/hyperlink" Target="https://www.qub.ac.uk/schools/SchoolofPharmacy/Research/ResearchThemes/" TargetMode="Externa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Adam Ringland</cp:lastModifiedBy>
  <cp:revision>5</cp:revision>
  <dcterms:created xsi:type="dcterms:W3CDTF">2022-01-21T13:12:00Z</dcterms:created>
  <dcterms:modified xsi:type="dcterms:W3CDTF">2022-02-01T11:31:00Z</dcterms:modified>
</cp:coreProperties>
</file>