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E08E5" w14:textId="0C6DC490" w:rsidR="001976E1" w:rsidRDefault="00495498" w:rsidP="00495498">
      <w:r>
        <w:rPr>
          <w:noProof/>
          <w:lang w:eastAsia="en-GB"/>
        </w:rPr>
        <w:drawing>
          <wp:inline distT="0" distB="0" distL="0" distR="0" wp14:anchorId="6A1A9111" wp14:editId="55D7596C">
            <wp:extent cx="3962400" cy="14295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QUB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1429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5F66">
        <w:t xml:space="preserve"> 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1522"/>
        <w:gridCol w:w="7789"/>
      </w:tblGrid>
      <w:tr w:rsidR="007F3CD9" w:rsidRPr="001D5159" w14:paraId="139BB1E1" w14:textId="77777777" w:rsidTr="00873281">
        <w:trPr>
          <w:trHeight w:val="470"/>
        </w:trPr>
        <w:tc>
          <w:tcPr>
            <w:tcW w:w="1512" w:type="dxa"/>
            <w:shd w:val="clear" w:color="auto" w:fill="DEEAF6" w:themeFill="accent1" w:themeFillTint="33"/>
          </w:tcPr>
          <w:p w14:paraId="50D7F92E" w14:textId="77777777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*</w:t>
            </w:r>
            <w:r w:rsidR="007F3CD9" w:rsidRPr="001D5159">
              <w:rPr>
                <w:rFonts w:ascii="Calibri" w:hAnsi="Calibri"/>
                <w:b/>
              </w:rPr>
              <w:t>Title of studentship</w:t>
            </w:r>
          </w:p>
        </w:tc>
        <w:tc>
          <w:tcPr>
            <w:tcW w:w="7730" w:type="dxa"/>
          </w:tcPr>
          <w:p w14:paraId="087F3833" w14:textId="2B07018D" w:rsidR="007F3CD9" w:rsidRPr="001D5159" w:rsidRDefault="009D3E15" w:rsidP="0066316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 exploration of</w:t>
            </w:r>
            <w:r w:rsidR="00E0431E">
              <w:rPr>
                <w:rFonts w:ascii="Calibri" w:hAnsi="Calibri"/>
              </w:rPr>
              <w:t xml:space="preserve"> medication-related harm in people living with dementia </w:t>
            </w:r>
          </w:p>
        </w:tc>
      </w:tr>
      <w:tr w:rsidR="007F3CD9" w:rsidRPr="001D5159" w14:paraId="5693CC34" w14:textId="77777777" w:rsidTr="00873281">
        <w:trPr>
          <w:trHeight w:val="444"/>
        </w:trPr>
        <w:tc>
          <w:tcPr>
            <w:tcW w:w="1512" w:type="dxa"/>
            <w:shd w:val="clear" w:color="auto" w:fill="DEEAF6" w:themeFill="accent1" w:themeFillTint="33"/>
          </w:tcPr>
          <w:p w14:paraId="5703C4CD" w14:textId="77777777" w:rsidR="007F3CD9" w:rsidRPr="001D5159" w:rsidRDefault="007F3CD9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Value</w:t>
            </w:r>
            <w:r w:rsidR="000F380D" w:rsidRPr="001D5159">
              <w:rPr>
                <w:rFonts w:ascii="Calibri" w:hAnsi="Calibri"/>
                <w:b/>
              </w:rPr>
              <w:t xml:space="preserve"> / what is covered? </w:t>
            </w:r>
          </w:p>
        </w:tc>
        <w:tc>
          <w:tcPr>
            <w:tcW w:w="7730" w:type="dxa"/>
          </w:tcPr>
          <w:p w14:paraId="48FF48B0" w14:textId="6A0CD969" w:rsidR="007F3CD9" w:rsidRPr="001D5159" w:rsidRDefault="007F3CD9">
            <w:pPr>
              <w:rPr>
                <w:rFonts w:ascii="Calibri" w:hAnsi="Calibri"/>
              </w:rPr>
            </w:pPr>
          </w:p>
          <w:p w14:paraId="4D692A97" w14:textId="33F8A0DA" w:rsidR="007C3A10" w:rsidRPr="001D5159" w:rsidRDefault="007C3A10" w:rsidP="00FB1B0D">
            <w:pPr>
              <w:rPr>
                <w:rFonts w:ascii="Calibri" w:hAnsi="Calibri"/>
              </w:rPr>
            </w:pPr>
          </w:p>
        </w:tc>
      </w:tr>
      <w:tr w:rsidR="007F3CD9" w:rsidRPr="001D5159" w14:paraId="7BE5D50C" w14:textId="77777777" w:rsidTr="00873281">
        <w:trPr>
          <w:trHeight w:val="470"/>
        </w:trPr>
        <w:tc>
          <w:tcPr>
            <w:tcW w:w="1512" w:type="dxa"/>
            <w:shd w:val="clear" w:color="auto" w:fill="DEEAF6" w:themeFill="accent1" w:themeFillTint="33"/>
          </w:tcPr>
          <w:p w14:paraId="7F0DCF90" w14:textId="77777777" w:rsidR="007F3CD9" w:rsidRPr="001D5159" w:rsidRDefault="007F3CD9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Awarding body</w:t>
            </w:r>
          </w:p>
        </w:tc>
        <w:tc>
          <w:tcPr>
            <w:tcW w:w="7730" w:type="dxa"/>
          </w:tcPr>
          <w:p w14:paraId="4FE0BE00" w14:textId="643F9C44" w:rsidR="007F3CD9" w:rsidRPr="001D5159" w:rsidRDefault="007F3CD9">
            <w:pPr>
              <w:rPr>
                <w:rFonts w:ascii="Calibri" w:hAnsi="Calibri"/>
              </w:rPr>
            </w:pPr>
          </w:p>
        </w:tc>
      </w:tr>
      <w:tr w:rsidR="007F3CD9" w:rsidRPr="001D5159" w14:paraId="0FD83558" w14:textId="77777777" w:rsidTr="001D5159">
        <w:trPr>
          <w:trHeight w:val="557"/>
        </w:trPr>
        <w:tc>
          <w:tcPr>
            <w:tcW w:w="1512" w:type="dxa"/>
            <w:shd w:val="clear" w:color="auto" w:fill="DEEAF6" w:themeFill="accent1" w:themeFillTint="33"/>
          </w:tcPr>
          <w:p w14:paraId="3B2B1F67" w14:textId="77777777" w:rsidR="007F3CD9" w:rsidRPr="001D5159" w:rsidRDefault="007F3CD9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Number of studentships</w:t>
            </w:r>
          </w:p>
        </w:tc>
        <w:tc>
          <w:tcPr>
            <w:tcW w:w="7730" w:type="dxa"/>
          </w:tcPr>
          <w:p w14:paraId="00607795" w14:textId="77777777" w:rsidR="007F3CD9" w:rsidRPr="001D5159" w:rsidRDefault="007C3A10">
            <w:pPr>
              <w:rPr>
                <w:rFonts w:ascii="Calibri" w:hAnsi="Calibri"/>
              </w:rPr>
            </w:pPr>
            <w:r w:rsidRPr="001D5159">
              <w:rPr>
                <w:rFonts w:ascii="Calibri" w:hAnsi="Calibri"/>
              </w:rPr>
              <w:t>1</w:t>
            </w:r>
          </w:p>
        </w:tc>
      </w:tr>
      <w:tr w:rsidR="007F3CD9" w:rsidRPr="001D5159" w14:paraId="7D945C08" w14:textId="77777777" w:rsidTr="00873281">
        <w:trPr>
          <w:trHeight w:val="1412"/>
        </w:trPr>
        <w:tc>
          <w:tcPr>
            <w:tcW w:w="1512" w:type="dxa"/>
            <w:shd w:val="clear" w:color="auto" w:fill="DEEAF6" w:themeFill="accent1" w:themeFillTint="33"/>
          </w:tcPr>
          <w:p w14:paraId="74833CDF" w14:textId="77777777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*</w:t>
            </w:r>
            <w:r w:rsidR="007F3CD9" w:rsidRPr="001D5159">
              <w:rPr>
                <w:rFonts w:ascii="Calibri" w:hAnsi="Calibri"/>
                <w:b/>
              </w:rPr>
              <w:t xml:space="preserve">Summary </w:t>
            </w:r>
            <w:r w:rsidR="00270CA4" w:rsidRPr="001D5159">
              <w:rPr>
                <w:rFonts w:ascii="Calibri" w:hAnsi="Calibri"/>
                <w:b/>
              </w:rPr>
              <w:t xml:space="preserve">descriptive </w:t>
            </w:r>
            <w:r w:rsidR="007F3CD9" w:rsidRPr="001D5159">
              <w:rPr>
                <w:rFonts w:ascii="Calibri" w:hAnsi="Calibri"/>
                <w:b/>
              </w:rPr>
              <w:t>text</w:t>
            </w:r>
            <w:r w:rsidR="00270CA4" w:rsidRPr="001D5159">
              <w:rPr>
                <w:rFonts w:ascii="Calibri" w:hAnsi="Calibri"/>
                <w:b/>
              </w:rPr>
              <w:t xml:space="preserve"> / Example of research project </w:t>
            </w:r>
          </w:p>
        </w:tc>
        <w:tc>
          <w:tcPr>
            <w:tcW w:w="7730" w:type="dxa"/>
          </w:tcPr>
          <w:p w14:paraId="7246FDBF" w14:textId="45DC37D1" w:rsidR="00257E72" w:rsidRDefault="007B2A84" w:rsidP="00BB2F09">
            <w:pPr>
              <w:jc w:val="both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It is estimated that there are close to 50 million people living with dementia</w:t>
            </w:r>
            <w:r w:rsidR="00C7770F">
              <w:rPr>
                <w:rFonts w:ascii="Calibri" w:hAnsi="Calibri"/>
                <w:lang w:val="en-US"/>
              </w:rPr>
              <w:t xml:space="preserve"> worldwide, </w:t>
            </w:r>
            <w:r w:rsidR="0041189C">
              <w:rPr>
                <w:rFonts w:ascii="Calibri" w:hAnsi="Calibri"/>
                <w:lang w:val="en-US"/>
              </w:rPr>
              <w:t>and this number is estimated to double every 20 years.</w:t>
            </w:r>
            <w:r w:rsidR="0071069C">
              <w:rPr>
                <w:rFonts w:ascii="Calibri" w:hAnsi="Calibri"/>
                <w:lang w:val="en-US"/>
              </w:rPr>
              <w:t xml:space="preserve"> </w:t>
            </w:r>
            <w:r w:rsidR="006422F4">
              <w:rPr>
                <w:rFonts w:ascii="Calibri" w:hAnsi="Calibri"/>
                <w:lang w:val="en-US"/>
              </w:rPr>
              <w:t xml:space="preserve">Multimorbidity and polypharmacy are both prevalent amongst people with dementia, increasing the risk of medication-related harm. </w:t>
            </w:r>
            <w:r w:rsidR="00BB2F09">
              <w:rPr>
                <w:rFonts w:ascii="Calibri" w:hAnsi="Calibri"/>
                <w:lang w:val="en-US"/>
              </w:rPr>
              <w:t>M</w:t>
            </w:r>
            <w:r w:rsidR="002C5EFE">
              <w:rPr>
                <w:rFonts w:ascii="Calibri" w:hAnsi="Calibri"/>
                <w:lang w:val="en-US"/>
              </w:rPr>
              <w:t>edication-related harm is recognised as a global public health issue</w:t>
            </w:r>
            <w:r w:rsidR="00787488">
              <w:rPr>
                <w:rFonts w:ascii="Calibri" w:hAnsi="Calibri"/>
                <w:lang w:val="en-US"/>
              </w:rPr>
              <w:t xml:space="preserve">, </w:t>
            </w:r>
            <w:r w:rsidR="004F3629">
              <w:rPr>
                <w:rFonts w:ascii="Calibri" w:hAnsi="Calibri"/>
                <w:lang w:val="en-US"/>
              </w:rPr>
              <w:t>as highlighted by the World Health Organisation’s global patient safety challenge</w:t>
            </w:r>
            <w:r w:rsidR="008C02FA">
              <w:rPr>
                <w:rFonts w:ascii="Calibri" w:hAnsi="Calibri"/>
                <w:lang w:val="en-US"/>
              </w:rPr>
              <w:t xml:space="preserve">, </w:t>
            </w:r>
            <w:r w:rsidR="00196DA7">
              <w:rPr>
                <w:rFonts w:ascii="Calibri" w:hAnsi="Calibri"/>
                <w:lang w:val="en-US"/>
              </w:rPr>
              <w:t>and</w:t>
            </w:r>
            <w:r w:rsidR="00D16ACA">
              <w:rPr>
                <w:rFonts w:ascii="Calibri" w:hAnsi="Calibri"/>
                <w:lang w:val="en-US"/>
              </w:rPr>
              <w:t xml:space="preserve"> it has been proposed that </w:t>
            </w:r>
            <w:r w:rsidR="008C02FA">
              <w:rPr>
                <w:rFonts w:ascii="Calibri" w:hAnsi="Calibri"/>
                <w:lang w:val="en-US"/>
              </w:rPr>
              <w:t>medication-related harm</w:t>
            </w:r>
            <w:r w:rsidR="00D16ACA">
              <w:rPr>
                <w:rFonts w:ascii="Calibri" w:hAnsi="Calibri"/>
                <w:lang w:val="en-US"/>
              </w:rPr>
              <w:t xml:space="preserve"> </w:t>
            </w:r>
            <w:r w:rsidR="000B71EE">
              <w:rPr>
                <w:rFonts w:ascii="Calibri" w:hAnsi="Calibri"/>
                <w:lang w:val="en-US"/>
              </w:rPr>
              <w:t>should be considered as a geriatric syndrome</w:t>
            </w:r>
            <w:r w:rsidR="002C5EFE">
              <w:rPr>
                <w:rFonts w:ascii="Calibri" w:hAnsi="Calibri"/>
                <w:lang w:val="en-US"/>
              </w:rPr>
              <w:t xml:space="preserve">. </w:t>
            </w:r>
            <w:r w:rsidR="005B2B4C">
              <w:rPr>
                <w:rFonts w:ascii="Calibri" w:hAnsi="Calibri"/>
                <w:lang w:val="en-US"/>
              </w:rPr>
              <w:t>This mixed-methods project will seek to</w:t>
            </w:r>
            <w:r w:rsidR="00344534">
              <w:rPr>
                <w:rFonts w:ascii="Calibri" w:hAnsi="Calibri"/>
                <w:lang w:val="en-US"/>
              </w:rPr>
              <w:t xml:space="preserve"> generate evidence on the </w:t>
            </w:r>
            <w:r w:rsidR="003771C6">
              <w:rPr>
                <w:rFonts w:ascii="Calibri" w:hAnsi="Calibri"/>
                <w:lang w:val="en-US"/>
              </w:rPr>
              <w:t>prevalence</w:t>
            </w:r>
            <w:r w:rsidR="0099219B">
              <w:rPr>
                <w:rFonts w:ascii="Calibri" w:hAnsi="Calibri"/>
                <w:lang w:val="en-US"/>
              </w:rPr>
              <w:t>, severity</w:t>
            </w:r>
            <w:r w:rsidR="00B82F19">
              <w:rPr>
                <w:rFonts w:ascii="Calibri" w:hAnsi="Calibri"/>
                <w:lang w:val="en-US"/>
              </w:rPr>
              <w:t xml:space="preserve"> </w:t>
            </w:r>
            <w:r w:rsidR="003771C6">
              <w:rPr>
                <w:rFonts w:ascii="Calibri" w:hAnsi="Calibri"/>
                <w:lang w:val="en-US"/>
              </w:rPr>
              <w:t>and type</w:t>
            </w:r>
            <w:r w:rsidR="00857E34">
              <w:rPr>
                <w:rFonts w:ascii="Calibri" w:hAnsi="Calibri"/>
                <w:lang w:val="en-US"/>
              </w:rPr>
              <w:t>s</w:t>
            </w:r>
            <w:r w:rsidR="003771C6">
              <w:rPr>
                <w:rFonts w:ascii="Calibri" w:hAnsi="Calibri"/>
                <w:lang w:val="en-US"/>
              </w:rPr>
              <w:t xml:space="preserve"> </w:t>
            </w:r>
            <w:r w:rsidR="00B82F19">
              <w:rPr>
                <w:rFonts w:ascii="Calibri" w:hAnsi="Calibri"/>
                <w:lang w:val="en-US"/>
              </w:rPr>
              <w:t>of medication-related harm among people with dementia</w:t>
            </w:r>
            <w:r w:rsidR="00857E34">
              <w:rPr>
                <w:rFonts w:ascii="Calibri" w:hAnsi="Calibri"/>
                <w:lang w:val="en-US"/>
              </w:rPr>
              <w:t>,</w:t>
            </w:r>
            <w:r w:rsidR="00735508">
              <w:rPr>
                <w:rFonts w:ascii="Calibri" w:hAnsi="Calibri"/>
                <w:lang w:val="en-US"/>
              </w:rPr>
              <w:t xml:space="preserve"> and particularly within </w:t>
            </w:r>
            <w:r w:rsidR="00CA3FE1">
              <w:rPr>
                <w:rFonts w:ascii="Calibri" w:hAnsi="Calibri"/>
                <w:lang w:val="en-US"/>
              </w:rPr>
              <w:t xml:space="preserve">the primary </w:t>
            </w:r>
            <w:r w:rsidR="008B2960">
              <w:rPr>
                <w:rFonts w:ascii="Calibri" w:hAnsi="Calibri"/>
                <w:lang w:val="en-US"/>
              </w:rPr>
              <w:t>health</w:t>
            </w:r>
            <w:r w:rsidR="00CA3FE1">
              <w:rPr>
                <w:rFonts w:ascii="Calibri" w:hAnsi="Calibri"/>
                <w:lang w:val="en-US"/>
              </w:rPr>
              <w:t>care setting. The project will</w:t>
            </w:r>
            <w:r w:rsidR="005F25EC">
              <w:rPr>
                <w:rFonts w:ascii="Calibri" w:hAnsi="Calibri"/>
                <w:lang w:val="en-US"/>
              </w:rPr>
              <w:t xml:space="preserve"> seek to understand the context in which </w:t>
            </w:r>
            <w:r w:rsidR="00DC68D7">
              <w:rPr>
                <w:rFonts w:ascii="Calibri" w:hAnsi="Calibri"/>
                <w:lang w:val="en-US"/>
              </w:rPr>
              <w:t xml:space="preserve">medication-related harm occurs in people with dementia and </w:t>
            </w:r>
            <w:r w:rsidR="0029674D">
              <w:rPr>
                <w:rFonts w:ascii="Calibri" w:hAnsi="Calibri"/>
                <w:lang w:val="en-US"/>
              </w:rPr>
              <w:t>explore how</w:t>
            </w:r>
            <w:r w:rsidR="00731016">
              <w:rPr>
                <w:rFonts w:ascii="Calibri" w:hAnsi="Calibri"/>
                <w:lang w:val="en-US"/>
              </w:rPr>
              <w:t xml:space="preserve"> strategies may be developed and implemented to reduce this harm and improve</w:t>
            </w:r>
            <w:r w:rsidR="0029674D">
              <w:rPr>
                <w:rFonts w:ascii="Calibri" w:hAnsi="Calibri"/>
                <w:lang w:val="en-US"/>
              </w:rPr>
              <w:t xml:space="preserve"> medication safety </w:t>
            </w:r>
            <w:r w:rsidR="00731016">
              <w:rPr>
                <w:rFonts w:ascii="Calibri" w:hAnsi="Calibri"/>
                <w:lang w:val="en-US"/>
              </w:rPr>
              <w:t xml:space="preserve">in </w:t>
            </w:r>
            <w:r w:rsidR="000A0A92">
              <w:rPr>
                <w:rFonts w:ascii="Calibri" w:hAnsi="Calibri"/>
                <w:lang w:val="en-US"/>
              </w:rPr>
              <w:t>this</w:t>
            </w:r>
            <w:r w:rsidR="00731016">
              <w:rPr>
                <w:rFonts w:ascii="Calibri" w:hAnsi="Calibri"/>
                <w:lang w:val="en-US"/>
              </w:rPr>
              <w:t xml:space="preserve"> vulnerable patient population.</w:t>
            </w:r>
            <w:r w:rsidR="00D35C56">
              <w:rPr>
                <w:rFonts w:ascii="Calibri" w:hAnsi="Calibri"/>
                <w:lang w:val="en-US"/>
              </w:rPr>
              <w:t xml:space="preserve"> The successful candidate will develop skills in both quantitative and qualitative </w:t>
            </w:r>
            <w:r w:rsidR="002071AA">
              <w:rPr>
                <w:rFonts w:ascii="Calibri" w:hAnsi="Calibri"/>
                <w:lang w:val="en-US"/>
              </w:rPr>
              <w:t xml:space="preserve">research </w:t>
            </w:r>
            <w:r w:rsidR="00D35C56">
              <w:rPr>
                <w:rFonts w:ascii="Calibri" w:hAnsi="Calibri"/>
                <w:lang w:val="en-US"/>
              </w:rPr>
              <w:t>methodologies</w:t>
            </w:r>
            <w:r w:rsidR="00BD1512">
              <w:rPr>
                <w:rFonts w:ascii="Calibri" w:hAnsi="Calibri"/>
                <w:lang w:val="en-US"/>
              </w:rPr>
              <w:t>, which are widely used in health services research.</w:t>
            </w:r>
          </w:p>
          <w:p w14:paraId="69C31F4A" w14:textId="3B3819EA" w:rsidR="00D16ACA" w:rsidRPr="001D5159" w:rsidRDefault="00D16ACA" w:rsidP="00BB2F09">
            <w:pPr>
              <w:jc w:val="both"/>
              <w:rPr>
                <w:rFonts w:ascii="Calibri" w:hAnsi="Calibri"/>
                <w:lang w:val="en-US"/>
              </w:rPr>
            </w:pPr>
          </w:p>
        </w:tc>
      </w:tr>
      <w:tr w:rsidR="00695F66" w:rsidRPr="001D5159" w14:paraId="4E56534D" w14:textId="77777777" w:rsidTr="00873281">
        <w:trPr>
          <w:trHeight w:val="625"/>
        </w:trPr>
        <w:tc>
          <w:tcPr>
            <w:tcW w:w="1512" w:type="dxa"/>
            <w:shd w:val="clear" w:color="auto" w:fill="DEEAF6" w:themeFill="accent1" w:themeFillTint="33"/>
          </w:tcPr>
          <w:p w14:paraId="3F9B8C4D" w14:textId="77777777" w:rsidR="00695F66" w:rsidRPr="001D5159" w:rsidRDefault="000F6B4D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*Supervisor(s)</w:t>
            </w:r>
          </w:p>
        </w:tc>
        <w:tc>
          <w:tcPr>
            <w:tcW w:w="7730" w:type="dxa"/>
          </w:tcPr>
          <w:p w14:paraId="6C870291" w14:textId="61E578B8" w:rsidR="00695F66" w:rsidRDefault="007B4916" w:rsidP="00BC387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Dr. Heather Barry (School of Pharmacy)</w:t>
            </w:r>
          </w:p>
          <w:p w14:paraId="4D62474E" w14:textId="4FE2EE5B" w:rsidR="007B4916" w:rsidRPr="001D5159" w:rsidRDefault="007B4916" w:rsidP="00BC387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Prof. Carmel Hughes (School of Pharmacy)</w:t>
            </w:r>
          </w:p>
        </w:tc>
      </w:tr>
      <w:tr w:rsidR="007F3CD9" w:rsidRPr="001D5159" w14:paraId="4E0B3869" w14:textId="77777777" w:rsidTr="00873281">
        <w:trPr>
          <w:trHeight w:val="630"/>
        </w:trPr>
        <w:tc>
          <w:tcPr>
            <w:tcW w:w="1512" w:type="dxa"/>
            <w:shd w:val="clear" w:color="auto" w:fill="DEEAF6" w:themeFill="accent1" w:themeFillTint="33"/>
          </w:tcPr>
          <w:p w14:paraId="60C69440" w14:textId="77777777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*</w:t>
            </w:r>
            <w:r w:rsidR="001B792D" w:rsidRPr="001D5159">
              <w:rPr>
                <w:rFonts w:ascii="Calibri" w:hAnsi="Calibri"/>
                <w:b/>
              </w:rPr>
              <w:t xml:space="preserve">Eligibility / residence </w:t>
            </w:r>
            <w:r w:rsidR="007F3CD9" w:rsidRPr="001D5159">
              <w:rPr>
                <w:rFonts w:ascii="Calibri" w:hAnsi="Calibri"/>
                <w:b/>
              </w:rPr>
              <w:t>Status</w:t>
            </w:r>
          </w:p>
        </w:tc>
        <w:tc>
          <w:tcPr>
            <w:tcW w:w="7730" w:type="dxa"/>
          </w:tcPr>
          <w:p w14:paraId="3D324EF1" w14:textId="16D28160" w:rsidR="007F3CD9" w:rsidRPr="001D5159" w:rsidRDefault="007F3CD9">
            <w:pPr>
              <w:rPr>
                <w:rFonts w:ascii="Calibri" w:hAnsi="Calibri"/>
              </w:rPr>
            </w:pPr>
          </w:p>
        </w:tc>
      </w:tr>
      <w:tr w:rsidR="007F3CD9" w:rsidRPr="001D5159" w14:paraId="0ED025C8" w14:textId="77777777" w:rsidTr="008B1ADC">
        <w:trPr>
          <w:trHeight w:val="656"/>
        </w:trPr>
        <w:tc>
          <w:tcPr>
            <w:tcW w:w="1512" w:type="dxa"/>
            <w:shd w:val="clear" w:color="auto" w:fill="DEEAF6" w:themeFill="accent1" w:themeFillTint="33"/>
          </w:tcPr>
          <w:p w14:paraId="1F7FEB37" w14:textId="77777777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Country</w:t>
            </w:r>
          </w:p>
        </w:tc>
        <w:tc>
          <w:tcPr>
            <w:tcW w:w="7730" w:type="dxa"/>
          </w:tcPr>
          <w:p w14:paraId="096F5302" w14:textId="77777777" w:rsidR="007F3CD9" w:rsidRPr="001D5159" w:rsidRDefault="007C3A10">
            <w:pPr>
              <w:rPr>
                <w:rFonts w:ascii="Calibri" w:hAnsi="Calibri"/>
              </w:rPr>
            </w:pPr>
            <w:r w:rsidRPr="001D5159">
              <w:rPr>
                <w:rFonts w:ascii="Calibri" w:hAnsi="Calibri"/>
              </w:rPr>
              <w:t>Northern Ireland</w:t>
            </w:r>
          </w:p>
        </w:tc>
      </w:tr>
      <w:tr w:rsidR="007F3CD9" w:rsidRPr="001D5159" w14:paraId="5A9A4024" w14:textId="77777777" w:rsidTr="00873281">
        <w:trPr>
          <w:trHeight w:val="630"/>
        </w:trPr>
        <w:tc>
          <w:tcPr>
            <w:tcW w:w="1512" w:type="dxa"/>
            <w:shd w:val="clear" w:color="auto" w:fill="DEEAF6" w:themeFill="accent1" w:themeFillTint="33"/>
          </w:tcPr>
          <w:p w14:paraId="62462A05" w14:textId="77777777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*</w:t>
            </w:r>
            <w:r w:rsidR="007F3CD9" w:rsidRPr="001D5159">
              <w:rPr>
                <w:rFonts w:ascii="Calibri" w:hAnsi="Calibri"/>
                <w:b/>
              </w:rPr>
              <w:t xml:space="preserve">Start date and duration </w:t>
            </w:r>
          </w:p>
        </w:tc>
        <w:tc>
          <w:tcPr>
            <w:tcW w:w="7730" w:type="dxa"/>
          </w:tcPr>
          <w:p w14:paraId="65E3155E" w14:textId="77777777" w:rsidR="007F3CD9" w:rsidRDefault="00924763" w:rsidP="00BC387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October 2022</w:t>
            </w:r>
          </w:p>
          <w:p w14:paraId="4010ABC3" w14:textId="5816F9AB" w:rsidR="00F6530B" w:rsidRPr="001D5159" w:rsidRDefault="00F6530B" w:rsidP="00BC387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Three-year full-time PhD</w:t>
            </w:r>
          </w:p>
        </w:tc>
      </w:tr>
      <w:tr w:rsidR="007F3CD9" w:rsidRPr="001D5159" w14:paraId="28F29B22" w14:textId="77777777" w:rsidTr="00873281">
        <w:trPr>
          <w:trHeight w:val="444"/>
        </w:trPr>
        <w:tc>
          <w:tcPr>
            <w:tcW w:w="1512" w:type="dxa"/>
            <w:shd w:val="clear" w:color="auto" w:fill="DEEAF6" w:themeFill="accent1" w:themeFillTint="33"/>
          </w:tcPr>
          <w:p w14:paraId="6A9B78EC" w14:textId="77777777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*</w:t>
            </w:r>
            <w:r w:rsidR="007F3CD9" w:rsidRPr="001D5159">
              <w:rPr>
                <w:rFonts w:ascii="Calibri" w:hAnsi="Calibri"/>
                <w:b/>
              </w:rPr>
              <w:t>Faculty</w:t>
            </w:r>
          </w:p>
        </w:tc>
        <w:tc>
          <w:tcPr>
            <w:tcW w:w="7730" w:type="dxa"/>
          </w:tcPr>
          <w:p w14:paraId="697AD963" w14:textId="77777777" w:rsidR="007F3CD9" w:rsidRPr="001D5159" w:rsidRDefault="007C3A10">
            <w:pPr>
              <w:rPr>
                <w:rFonts w:ascii="Calibri" w:hAnsi="Calibri"/>
              </w:rPr>
            </w:pPr>
            <w:r w:rsidRPr="001D5159">
              <w:rPr>
                <w:rFonts w:ascii="Calibri" w:hAnsi="Calibri"/>
              </w:rPr>
              <w:t>MHLS</w:t>
            </w:r>
          </w:p>
        </w:tc>
      </w:tr>
      <w:tr w:rsidR="007F3CD9" w:rsidRPr="001D5159" w14:paraId="0F4A2020" w14:textId="77777777" w:rsidTr="00873281">
        <w:trPr>
          <w:trHeight w:val="470"/>
        </w:trPr>
        <w:tc>
          <w:tcPr>
            <w:tcW w:w="1512" w:type="dxa"/>
            <w:shd w:val="clear" w:color="auto" w:fill="DEEAF6" w:themeFill="accent1" w:themeFillTint="33"/>
          </w:tcPr>
          <w:p w14:paraId="7E363DF7" w14:textId="77777777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*</w:t>
            </w:r>
            <w:r w:rsidR="007F3CD9" w:rsidRPr="001D5159">
              <w:rPr>
                <w:rFonts w:ascii="Calibri" w:hAnsi="Calibri"/>
                <w:b/>
              </w:rPr>
              <w:t>Research centre / School</w:t>
            </w:r>
          </w:p>
        </w:tc>
        <w:tc>
          <w:tcPr>
            <w:tcW w:w="7730" w:type="dxa"/>
          </w:tcPr>
          <w:p w14:paraId="01F42C0A" w14:textId="77777777" w:rsidR="007F3CD9" w:rsidRPr="001D5159" w:rsidRDefault="007C3A10">
            <w:pPr>
              <w:rPr>
                <w:rFonts w:ascii="Calibri" w:hAnsi="Calibri"/>
              </w:rPr>
            </w:pPr>
            <w:r w:rsidRPr="001D5159">
              <w:rPr>
                <w:rFonts w:ascii="Calibri" w:hAnsi="Calibri"/>
              </w:rPr>
              <w:t>Pharmacy</w:t>
            </w:r>
          </w:p>
        </w:tc>
      </w:tr>
      <w:tr w:rsidR="001B792D" w:rsidRPr="001D5159" w14:paraId="2B55D6E4" w14:textId="77777777" w:rsidTr="00873281">
        <w:trPr>
          <w:trHeight w:val="470"/>
        </w:trPr>
        <w:tc>
          <w:tcPr>
            <w:tcW w:w="1512" w:type="dxa"/>
            <w:shd w:val="clear" w:color="auto" w:fill="DEEAF6" w:themeFill="accent1" w:themeFillTint="33"/>
          </w:tcPr>
          <w:p w14:paraId="29BF30B7" w14:textId="77777777" w:rsidR="001B792D" w:rsidRPr="001D5159" w:rsidRDefault="001B792D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Subject area</w:t>
            </w:r>
          </w:p>
        </w:tc>
        <w:tc>
          <w:tcPr>
            <w:tcW w:w="7730" w:type="dxa"/>
          </w:tcPr>
          <w:p w14:paraId="26BC92BB" w14:textId="6D2525AC" w:rsidR="001B792D" w:rsidRPr="001D5159" w:rsidRDefault="00C53CF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Healthcare delivery and medicines optimisation</w:t>
            </w:r>
          </w:p>
        </w:tc>
      </w:tr>
      <w:tr w:rsidR="007F3CD9" w:rsidRPr="001D5159" w14:paraId="37F2D25C" w14:textId="77777777" w:rsidTr="00873281">
        <w:trPr>
          <w:trHeight w:val="444"/>
        </w:trPr>
        <w:tc>
          <w:tcPr>
            <w:tcW w:w="1512" w:type="dxa"/>
            <w:shd w:val="clear" w:color="auto" w:fill="DEEAF6" w:themeFill="accent1" w:themeFillTint="33"/>
          </w:tcPr>
          <w:p w14:paraId="1721C332" w14:textId="77777777" w:rsidR="007F3CD9" w:rsidRPr="001D5159" w:rsidRDefault="001B792D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lastRenderedPageBreak/>
              <w:t>Candidate requirements / K</w:t>
            </w:r>
            <w:r w:rsidR="00695F66" w:rsidRPr="001D5159">
              <w:rPr>
                <w:rFonts w:ascii="Calibri" w:hAnsi="Calibri"/>
                <w:b/>
              </w:rPr>
              <w:t xml:space="preserve">ey skills required for the post </w:t>
            </w:r>
          </w:p>
          <w:p w14:paraId="054A0AE4" w14:textId="77777777" w:rsidR="00695F66" w:rsidRPr="001D5159" w:rsidRDefault="00695F66">
            <w:pPr>
              <w:rPr>
                <w:rFonts w:ascii="Calibri" w:hAnsi="Calibri"/>
                <w:b/>
              </w:rPr>
            </w:pPr>
          </w:p>
        </w:tc>
        <w:tc>
          <w:tcPr>
            <w:tcW w:w="7730" w:type="dxa"/>
          </w:tcPr>
          <w:p w14:paraId="0B0D5859" w14:textId="77777777" w:rsidR="007F3CD9" w:rsidRDefault="007C3A10">
            <w:pPr>
              <w:rPr>
                <w:rFonts w:ascii="Calibri" w:hAnsi="Calibri" w:cs="Arial"/>
              </w:rPr>
            </w:pPr>
            <w:r w:rsidRPr="001D5159">
              <w:rPr>
                <w:rFonts w:ascii="Calibri" w:hAnsi="Calibri" w:cs="Arial"/>
              </w:rPr>
              <w:t xml:space="preserve">Applicants should have a 1st or 2.1 honours degree (or equivalent) in a relevant subject. Relevant subjects include </w:t>
            </w:r>
            <w:r w:rsidR="00090D75" w:rsidRPr="001D5159">
              <w:rPr>
                <w:rFonts w:ascii="Calibri" w:hAnsi="Calibri" w:cs="Arial"/>
              </w:rPr>
              <w:t>Pharmacy</w:t>
            </w:r>
            <w:r w:rsidR="00090D75">
              <w:rPr>
                <w:rFonts w:ascii="Calibri" w:hAnsi="Calibri" w:cs="Arial"/>
              </w:rPr>
              <w:t>, Pharmaceutical</w:t>
            </w:r>
            <w:r w:rsidRPr="001D5159">
              <w:rPr>
                <w:rFonts w:ascii="Calibri" w:hAnsi="Calibri" w:cs="Arial"/>
              </w:rPr>
              <w:t xml:space="preserve"> Sciences, Biochemistry, Biological/Biomedical Sciences,</w:t>
            </w:r>
            <w:r w:rsidR="002F06D8" w:rsidRPr="001D5159">
              <w:rPr>
                <w:rFonts w:ascii="Calibri" w:hAnsi="Calibri" w:cs="Arial"/>
              </w:rPr>
              <w:t xml:space="preserve"> </w:t>
            </w:r>
            <w:r w:rsidRPr="001D5159">
              <w:rPr>
                <w:rFonts w:ascii="Calibri" w:hAnsi="Calibri" w:cs="Arial"/>
              </w:rPr>
              <w:t>Chemistry, Engineering</w:t>
            </w:r>
            <w:r w:rsidR="00E41AE4" w:rsidRPr="001D5159">
              <w:rPr>
                <w:rFonts w:ascii="Calibri" w:hAnsi="Calibri" w:cs="Arial"/>
              </w:rPr>
              <w:t xml:space="preserve">, or </w:t>
            </w:r>
            <w:r w:rsidRPr="001D5159">
              <w:rPr>
                <w:rFonts w:ascii="Calibri" w:hAnsi="Calibri" w:cs="Arial"/>
              </w:rPr>
              <w:t>a closely related discipline. Students who have a 2.2 honours degree and a Master’s degree may also be considered, but the School reserves the right to shortlist for interview only those applicants who have demonstrated high academic attainment to date</w:t>
            </w:r>
            <w:r w:rsidR="007523AE">
              <w:rPr>
                <w:rFonts w:ascii="Calibri" w:hAnsi="Calibri" w:cs="Arial"/>
              </w:rPr>
              <w:t>.</w:t>
            </w:r>
          </w:p>
          <w:p w14:paraId="04908960" w14:textId="747FBEA3" w:rsidR="00C315D7" w:rsidRPr="001D5159" w:rsidRDefault="00C315D7" w:rsidP="008B1ADC">
            <w:pPr>
              <w:rPr>
                <w:rFonts w:ascii="Calibri" w:hAnsi="Calibri"/>
              </w:rPr>
            </w:pPr>
          </w:p>
        </w:tc>
      </w:tr>
      <w:tr w:rsidR="007F3CD9" w:rsidRPr="001D5159" w14:paraId="20B23C1A" w14:textId="77777777" w:rsidTr="00873281">
        <w:trPr>
          <w:trHeight w:val="444"/>
        </w:trPr>
        <w:tc>
          <w:tcPr>
            <w:tcW w:w="1512" w:type="dxa"/>
            <w:shd w:val="clear" w:color="auto" w:fill="DEEAF6" w:themeFill="accent1" w:themeFillTint="33"/>
          </w:tcPr>
          <w:p w14:paraId="797CECE2" w14:textId="09D31F22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*</w:t>
            </w:r>
            <w:r w:rsidR="007F3CD9" w:rsidRPr="001D5159">
              <w:rPr>
                <w:rFonts w:ascii="Calibri" w:hAnsi="Calibri"/>
                <w:b/>
              </w:rPr>
              <w:t>Deadline for applications</w:t>
            </w:r>
          </w:p>
        </w:tc>
        <w:tc>
          <w:tcPr>
            <w:tcW w:w="7730" w:type="dxa"/>
          </w:tcPr>
          <w:p w14:paraId="489895A8" w14:textId="216CA843" w:rsidR="007F3CD9" w:rsidRPr="001D5159" w:rsidRDefault="007F3CD9" w:rsidP="00C33F84">
            <w:pPr>
              <w:rPr>
                <w:rFonts w:ascii="Calibri" w:hAnsi="Calibri"/>
              </w:rPr>
            </w:pPr>
          </w:p>
        </w:tc>
      </w:tr>
      <w:tr w:rsidR="007F3CD9" w:rsidRPr="001D5159" w14:paraId="7A487D07" w14:textId="77777777" w:rsidTr="00873281">
        <w:trPr>
          <w:trHeight w:val="444"/>
        </w:trPr>
        <w:tc>
          <w:tcPr>
            <w:tcW w:w="1512" w:type="dxa"/>
            <w:shd w:val="clear" w:color="auto" w:fill="DEEAF6" w:themeFill="accent1" w:themeFillTint="33"/>
          </w:tcPr>
          <w:p w14:paraId="70B884C3" w14:textId="77777777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*</w:t>
            </w:r>
            <w:r w:rsidR="007F3CD9" w:rsidRPr="001D5159">
              <w:rPr>
                <w:rFonts w:ascii="Calibri" w:hAnsi="Calibri"/>
                <w:b/>
              </w:rPr>
              <w:t>How to apply / contacts</w:t>
            </w:r>
          </w:p>
        </w:tc>
        <w:tc>
          <w:tcPr>
            <w:tcW w:w="7730" w:type="dxa"/>
          </w:tcPr>
          <w:p w14:paraId="71CA2C71" w14:textId="21F3316D" w:rsidR="007F3CD9" w:rsidRPr="001D5159" w:rsidRDefault="007F3CD9">
            <w:pPr>
              <w:rPr>
                <w:rFonts w:ascii="Calibri" w:hAnsi="Calibri"/>
              </w:rPr>
            </w:pPr>
            <w:r w:rsidRPr="001D5159">
              <w:rPr>
                <w:rFonts w:ascii="Calibri" w:hAnsi="Calibri"/>
              </w:rPr>
              <w:t>Postgraduate Research applicants</w:t>
            </w:r>
            <w:r w:rsidR="007C3A10" w:rsidRPr="001D5159">
              <w:rPr>
                <w:rFonts w:ascii="Calibri" w:hAnsi="Calibri"/>
              </w:rPr>
              <w:t xml:space="preserve"> </w:t>
            </w:r>
            <w:r w:rsidRPr="001D5159">
              <w:rPr>
                <w:rFonts w:ascii="Calibri" w:hAnsi="Calibri"/>
              </w:rPr>
              <w:t xml:space="preserve">must have applied to Queen’s, via </w:t>
            </w:r>
            <w:r w:rsidR="00C33F84">
              <w:rPr>
                <w:rFonts w:ascii="Calibri" w:hAnsi="Calibri"/>
              </w:rPr>
              <w:t>the Direct Applications Portal.</w:t>
            </w:r>
          </w:p>
          <w:p w14:paraId="7417D1C6" w14:textId="77777777" w:rsidR="007F3CD9" w:rsidRPr="001D5159" w:rsidRDefault="007F3CD9">
            <w:pPr>
              <w:rPr>
                <w:rFonts w:ascii="Calibri" w:hAnsi="Calibri"/>
              </w:rPr>
            </w:pPr>
          </w:p>
          <w:p w14:paraId="50D79A55" w14:textId="77777777" w:rsidR="007F3CD9" w:rsidRPr="001D5159" w:rsidRDefault="008B2960">
            <w:pPr>
              <w:rPr>
                <w:rFonts w:ascii="Calibri" w:hAnsi="Calibri"/>
              </w:rPr>
            </w:pPr>
            <w:hyperlink r:id="rId6" w:history="1">
              <w:r w:rsidR="007F3CD9" w:rsidRPr="001D5159">
                <w:rPr>
                  <w:rStyle w:val="Hyperlink"/>
                  <w:rFonts w:ascii="Calibri" w:hAnsi="Calibri"/>
                </w:rPr>
                <w:t>https://dap.qub.ac.uk/portal/user/u_login.php</w:t>
              </w:r>
            </w:hyperlink>
            <w:r w:rsidR="007F3CD9" w:rsidRPr="001D5159">
              <w:rPr>
                <w:rFonts w:ascii="Calibri" w:hAnsi="Calibri"/>
              </w:rPr>
              <w:t xml:space="preserve"> </w:t>
            </w:r>
            <w:r w:rsidR="007F3CD9" w:rsidRPr="001D5159">
              <w:rPr>
                <w:rFonts w:ascii="Calibri" w:hAnsi="Calibri"/>
              </w:rPr>
              <w:br/>
            </w:r>
          </w:p>
        </w:tc>
      </w:tr>
      <w:tr w:rsidR="007F3CD9" w:rsidRPr="001D5159" w14:paraId="768977FD" w14:textId="77777777" w:rsidTr="00F120B1">
        <w:trPr>
          <w:trHeight w:val="1799"/>
        </w:trPr>
        <w:tc>
          <w:tcPr>
            <w:tcW w:w="1512" w:type="dxa"/>
            <w:shd w:val="clear" w:color="auto" w:fill="DEEAF6" w:themeFill="accent1" w:themeFillTint="33"/>
          </w:tcPr>
          <w:p w14:paraId="49F160B1" w14:textId="77777777" w:rsidR="007F3CD9" w:rsidRPr="001D5159" w:rsidRDefault="007F3CD9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 xml:space="preserve">Relevant links </w:t>
            </w:r>
            <w:r w:rsidR="001B792D" w:rsidRPr="001D5159">
              <w:rPr>
                <w:rFonts w:ascii="Calibri" w:hAnsi="Calibri"/>
                <w:b/>
              </w:rPr>
              <w:t xml:space="preserve">/ more information </w:t>
            </w:r>
          </w:p>
          <w:p w14:paraId="4C17368C" w14:textId="77777777" w:rsidR="007F3CD9" w:rsidRPr="001D5159" w:rsidRDefault="007F3CD9">
            <w:pPr>
              <w:rPr>
                <w:rFonts w:ascii="Calibri" w:hAnsi="Calibri"/>
              </w:rPr>
            </w:pPr>
          </w:p>
        </w:tc>
        <w:tc>
          <w:tcPr>
            <w:tcW w:w="7730" w:type="dxa"/>
          </w:tcPr>
          <w:p w14:paraId="3194874E" w14:textId="77777777" w:rsidR="007F3CD9" w:rsidRPr="001D5159" w:rsidRDefault="007F3CD9">
            <w:pPr>
              <w:rPr>
                <w:rFonts w:ascii="Calibri" w:hAnsi="Calibri"/>
              </w:rPr>
            </w:pPr>
          </w:p>
          <w:p w14:paraId="2A178B23" w14:textId="77777777" w:rsidR="007F3CD9" w:rsidRPr="001D5159" w:rsidRDefault="008B2960">
            <w:pPr>
              <w:rPr>
                <w:rFonts w:ascii="Calibri" w:hAnsi="Calibri"/>
              </w:rPr>
            </w:pPr>
            <w:hyperlink r:id="rId7" w:history="1">
              <w:r w:rsidR="007C3A10" w:rsidRPr="001D5159">
                <w:rPr>
                  <w:rStyle w:val="Hyperlink"/>
                  <w:rFonts w:ascii="Calibri" w:hAnsi="Calibri"/>
                </w:rPr>
                <w:t>http://www.qub.ac.uk/schools/SchoolofPharmacy/Research/PostgraduatePositions/</w:t>
              </w:r>
            </w:hyperlink>
          </w:p>
          <w:p w14:paraId="64418259" w14:textId="77777777" w:rsidR="007C3A10" w:rsidRPr="001D5159" w:rsidRDefault="007C3A10">
            <w:pPr>
              <w:rPr>
                <w:rFonts w:ascii="Calibri" w:hAnsi="Calibri"/>
              </w:rPr>
            </w:pPr>
          </w:p>
          <w:p w14:paraId="403278DB" w14:textId="77777777" w:rsidR="007C3A10" w:rsidRPr="001D5159" w:rsidRDefault="008B2960">
            <w:pPr>
              <w:rPr>
                <w:rStyle w:val="Hyperlink"/>
                <w:rFonts w:ascii="Calibri" w:hAnsi="Calibri"/>
              </w:rPr>
            </w:pPr>
            <w:hyperlink r:id="rId8" w:history="1">
              <w:r w:rsidR="007C3A10" w:rsidRPr="001D5159">
                <w:rPr>
                  <w:rStyle w:val="Hyperlink"/>
                  <w:rFonts w:ascii="Calibri" w:hAnsi="Calibri"/>
                </w:rPr>
                <w:t>http://www.qub.ac.uk/schools/SchoolofPharmacy/Research/</w:t>
              </w:r>
            </w:hyperlink>
          </w:p>
          <w:p w14:paraId="1CF021AD" w14:textId="77777777" w:rsidR="00960566" w:rsidRPr="001D5159" w:rsidRDefault="00960566" w:rsidP="00960566">
            <w:pPr>
              <w:rPr>
                <w:rFonts w:ascii="Calibri" w:hAnsi="Calibri"/>
              </w:rPr>
            </w:pPr>
          </w:p>
          <w:p w14:paraId="6B53524E" w14:textId="3A9F269F" w:rsidR="007C3A10" w:rsidRPr="001D5159" w:rsidRDefault="007C3A10">
            <w:pPr>
              <w:rPr>
                <w:rFonts w:ascii="Calibri" w:hAnsi="Calibri"/>
              </w:rPr>
            </w:pPr>
          </w:p>
        </w:tc>
      </w:tr>
      <w:tr w:rsidR="001B792D" w:rsidRPr="001D5159" w14:paraId="047D132B" w14:textId="77777777" w:rsidTr="00873281">
        <w:trPr>
          <w:trHeight w:val="576"/>
        </w:trPr>
        <w:tc>
          <w:tcPr>
            <w:tcW w:w="1512" w:type="dxa"/>
            <w:shd w:val="clear" w:color="auto" w:fill="DEEAF6" w:themeFill="accent1" w:themeFillTint="33"/>
          </w:tcPr>
          <w:p w14:paraId="12CD1648" w14:textId="77777777" w:rsidR="001B792D" w:rsidRPr="001D5159" w:rsidRDefault="001B792D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Keywords for search filters</w:t>
            </w:r>
          </w:p>
        </w:tc>
        <w:tc>
          <w:tcPr>
            <w:tcW w:w="7730" w:type="dxa"/>
          </w:tcPr>
          <w:p w14:paraId="60DC74E3" w14:textId="40F77497" w:rsidR="001B792D" w:rsidRPr="001D5159" w:rsidRDefault="00EF5BB5" w:rsidP="0066260E">
            <w:pPr>
              <w:jc w:val="both"/>
              <w:rPr>
                <w:rFonts w:ascii="Calibri" w:hAnsi="Calibri"/>
              </w:rPr>
            </w:pPr>
            <w:r w:rsidRPr="00EF5BB5">
              <w:rPr>
                <w:rFonts w:ascii="Calibri" w:hAnsi="Calibri"/>
              </w:rPr>
              <w:t xml:space="preserve">Older people, dementia, primary care, healthcare professionals, </w:t>
            </w:r>
            <w:r w:rsidR="00E0431E">
              <w:rPr>
                <w:rFonts w:ascii="Calibri" w:hAnsi="Calibri"/>
              </w:rPr>
              <w:t>prescribing</w:t>
            </w:r>
            <w:r w:rsidR="005349EB">
              <w:rPr>
                <w:rFonts w:ascii="Calibri" w:hAnsi="Calibri"/>
              </w:rPr>
              <w:t>, medication</w:t>
            </w:r>
            <w:r w:rsidR="0078791D">
              <w:rPr>
                <w:rFonts w:ascii="Calibri" w:hAnsi="Calibri"/>
              </w:rPr>
              <w:t>-related harm</w:t>
            </w:r>
            <w:r w:rsidR="00330EEB">
              <w:rPr>
                <w:rFonts w:ascii="Calibri" w:hAnsi="Calibri"/>
              </w:rPr>
              <w:t>, medication safety</w:t>
            </w:r>
          </w:p>
        </w:tc>
      </w:tr>
      <w:tr w:rsidR="001B792D" w:rsidRPr="001D5159" w14:paraId="0AC7B4C0" w14:textId="77777777" w:rsidTr="00873281">
        <w:trPr>
          <w:trHeight w:val="470"/>
        </w:trPr>
        <w:tc>
          <w:tcPr>
            <w:tcW w:w="1512" w:type="dxa"/>
            <w:shd w:val="clear" w:color="auto" w:fill="DEEAF6" w:themeFill="accent1" w:themeFillTint="33"/>
          </w:tcPr>
          <w:p w14:paraId="4D54FEE9" w14:textId="77777777" w:rsidR="001B792D" w:rsidRPr="001D5159" w:rsidRDefault="001B792D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Training provided through the research project</w:t>
            </w:r>
          </w:p>
        </w:tc>
        <w:tc>
          <w:tcPr>
            <w:tcW w:w="7730" w:type="dxa"/>
          </w:tcPr>
          <w:p w14:paraId="3D9C554A" w14:textId="4EA4D340" w:rsidR="00090D75" w:rsidRDefault="00134DA9" w:rsidP="0066260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The successful candidate will </w:t>
            </w:r>
            <w:r w:rsidR="004D5BA8">
              <w:rPr>
                <w:rFonts w:ascii="Calibri" w:hAnsi="Calibri"/>
              </w:rPr>
              <w:t xml:space="preserve">receive training in relevant quantitative and qualitative methodologies </w:t>
            </w:r>
            <w:r w:rsidR="00C70638">
              <w:rPr>
                <w:rFonts w:ascii="Calibri" w:hAnsi="Calibri"/>
              </w:rPr>
              <w:t>and other generic research skills</w:t>
            </w:r>
            <w:r w:rsidR="00AB30C3">
              <w:rPr>
                <w:rFonts w:ascii="Calibri" w:hAnsi="Calibri"/>
              </w:rPr>
              <w:t xml:space="preserve">, such as delivering presentations, </w:t>
            </w:r>
            <w:r w:rsidR="001B6F62">
              <w:rPr>
                <w:rFonts w:ascii="Calibri" w:hAnsi="Calibri"/>
              </w:rPr>
              <w:t xml:space="preserve">scientific writing/writing for </w:t>
            </w:r>
            <w:r w:rsidR="00DF662F">
              <w:rPr>
                <w:rFonts w:ascii="Calibri" w:hAnsi="Calibri"/>
              </w:rPr>
              <w:t>publication</w:t>
            </w:r>
            <w:r w:rsidR="001B6F62">
              <w:rPr>
                <w:rFonts w:ascii="Calibri" w:hAnsi="Calibri"/>
              </w:rPr>
              <w:t xml:space="preserve">, </w:t>
            </w:r>
            <w:r w:rsidR="00DF662F">
              <w:rPr>
                <w:rFonts w:ascii="Calibri" w:hAnsi="Calibri"/>
              </w:rPr>
              <w:t xml:space="preserve">and time management. </w:t>
            </w:r>
          </w:p>
          <w:p w14:paraId="50C40384" w14:textId="01BCA897" w:rsidR="00090D75" w:rsidRPr="001D5159" w:rsidRDefault="00090D75" w:rsidP="00090D75">
            <w:pPr>
              <w:jc w:val="both"/>
              <w:rPr>
                <w:rFonts w:ascii="Calibri" w:hAnsi="Calibri"/>
              </w:rPr>
            </w:pPr>
          </w:p>
        </w:tc>
      </w:tr>
      <w:tr w:rsidR="001B792D" w:rsidRPr="001D5159" w14:paraId="35AA849E" w14:textId="77777777" w:rsidTr="00873281">
        <w:trPr>
          <w:trHeight w:val="470"/>
        </w:trPr>
        <w:tc>
          <w:tcPr>
            <w:tcW w:w="1512" w:type="dxa"/>
            <w:shd w:val="clear" w:color="auto" w:fill="DEEAF6" w:themeFill="accent1" w:themeFillTint="33"/>
          </w:tcPr>
          <w:p w14:paraId="2A6DDC67" w14:textId="77777777" w:rsidR="001B792D" w:rsidRPr="001D5159" w:rsidRDefault="001B792D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Expected impact activities</w:t>
            </w:r>
          </w:p>
        </w:tc>
        <w:tc>
          <w:tcPr>
            <w:tcW w:w="7730" w:type="dxa"/>
          </w:tcPr>
          <w:p w14:paraId="53AD2D2A" w14:textId="4332AB45" w:rsidR="001B792D" w:rsidRPr="001D5159" w:rsidRDefault="009B0303" w:rsidP="0066260E">
            <w:pPr>
              <w:jc w:val="both"/>
              <w:rPr>
                <w:rFonts w:ascii="Calibri" w:hAnsi="Calibri"/>
              </w:rPr>
            </w:pPr>
            <w:r w:rsidRPr="009B0303">
              <w:rPr>
                <w:rFonts w:ascii="Calibri" w:hAnsi="Calibri"/>
              </w:rPr>
              <w:t>This project will provide a clearer understanding of the</w:t>
            </w:r>
            <w:r w:rsidR="006B0B43">
              <w:rPr>
                <w:rFonts w:ascii="Calibri" w:hAnsi="Calibri"/>
              </w:rPr>
              <w:t xml:space="preserve"> prevalence and causes of medication-</w:t>
            </w:r>
            <w:r w:rsidR="00112412">
              <w:rPr>
                <w:rFonts w:ascii="Calibri" w:hAnsi="Calibri"/>
              </w:rPr>
              <w:t>related</w:t>
            </w:r>
            <w:r w:rsidR="006B0B43">
              <w:rPr>
                <w:rFonts w:ascii="Calibri" w:hAnsi="Calibri"/>
              </w:rPr>
              <w:t xml:space="preserve"> harm in people living with dementia.</w:t>
            </w:r>
            <w:r w:rsidRPr="009B0303">
              <w:rPr>
                <w:rFonts w:ascii="Calibri" w:hAnsi="Calibri"/>
              </w:rPr>
              <w:t xml:space="preserve"> Findings from this work will be used to improve</w:t>
            </w:r>
            <w:r w:rsidR="00112412">
              <w:rPr>
                <w:rFonts w:ascii="Calibri" w:hAnsi="Calibri"/>
              </w:rPr>
              <w:t xml:space="preserve"> prescribing practices and</w:t>
            </w:r>
            <w:r w:rsidRPr="009B0303">
              <w:rPr>
                <w:rFonts w:ascii="Calibri" w:hAnsi="Calibri"/>
              </w:rPr>
              <w:t xml:space="preserve"> primary care service delivery for people living with dementia, to positively impact patient satisfaction and quality of life.</w:t>
            </w:r>
          </w:p>
        </w:tc>
      </w:tr>
    </w:tbl>
    <w:p w14:paraId="69AE6B80" w14:textId="133D7D0B" w:rsidR="00375356" w:rsidRPr="001D5159" w:rsidRDefault="00375356">
      <w:pPr>
        <w:rPr>
          <w:rFonts w:ascii="Calibri" w:hAnsi="Calibri"/>
        </w:rPr>
      </w:pPr>
    </w:p>
    <w:sectPr w:rsidR="00375356" w:rsidRPr="001D51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85528"/>
    <w:multiLevelType w:val="hybridMultilevel"/>
    <w:tmpl w:val="5FF83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CD9"/>
    <w:rsid w:val="00000375"/>
    <w:rsid w:val="00001543"/>
    <w:rsid w:val="00002F77"/>
    <w:rsid w:val="00012915"/>
    <w:rsid w:val="000140E0"/>
    <w:rsid w:val="00017B3A"/>
    <w:rsid w:val="000211E7"/>
    <w:rsid w:val="00036AC1"/>
    <w:rsid w:val="0006730B"/>
    <w:rsid w:val="0007161D"/>
    <w:rsid w:val="0007487E"/>
    <w:rsid w:val="00074FC2"/>
    <w:rsid w:val="00076683"/>
    <w:rsid w:val="0008106D"/>
    <w:rsid w:val="00087903"/>
    <w:rsid w:val="00090D75"/>
    <w:rsid w:val="00093ED6"/>
    <w:rsid w:val="000976C2"/>
    <w:rsid w:val="000A0A92"/>
    <w:rsid w:val="000A78A3"/>
    <w:rsid w:val="000B1968"/>
    <w:rsid w:val="000B5232"/>
    <w:rsid w:val="000B5533"/>
    <w:rsid w:val="000B6594"/>
    <w:rsid w:val="000B71EE"/>
    <w:rsid w:val="000C6238"/>
    <w:rsid w:val="000D526E"/>
    <w:rsid w:val="000F0B0E"/>
    <w:rsid w:val="000F380D"/>
    <w:rsid w:val="000F550F"/>
    <w:rsid w:val="000F6B4D"/>
    <w:rsid w:val="000F6C8E"/>
    <w:rsid w:val="00100C14"/>
    <w:rsid w:val="00112412"/>
    <w:rsid w:val="00114809"/>
    <w:rsid w:val="001215F1"/>
    <w:rsid w:val="00125BB4"/>
    <w:rsid w:val="001262AC"/>
    <w:rsid w:val="00127B6D"/>
    <w:rsid w:val="00131E69"/>
    <w:rsid w:val="0013226E"/>
    <w:rsid w:val="00134DA9"/>
    <w:rsid w:val="00136716"/>
    <w:rsid w:val="00136A7C"/>
    <w:rsid w:val="0014119A"/>
    <w:rsid w:val="00145A7B"/>
    <w:rsid w:val="00147201"/>
    <w:rsid w:val="00152845"/>
    <w:rsid w:val="00152DAA"/>
    <w:rsid w:val="00152DD3"/>
    <w:rsid w:val="00152E17"/>
    <w:rsid w:val="00157E70"/>
    <w:rsid w:val="001757EF"/>
    <w:rsid w:val="001865C3"/>
    <w:rsid w:val="00190974"/>
    <w:rsid w:val="00196DA7"/>
    <w:rsid w:val="001976E1"/>
    <w:rsid w:val="001B35A8"/>
    <w:rsid w:val="001B56F1"/>
    <w:rsid w:val="001B6F62"/>
    <w:rsid w:val="001B7418"/>
    <w:rsid w:val="001B792D"/>
    <w:rsid w:val="001B7A47"/>
    <w:rsid w:val="001C09BA"/>
    <w:rsid w:val="001C15E7"/>
    <w:rsid w:val="001C36D8"/>
    <w:rsid w:val="001C59A2"/>
    <w:rsid w:val="001C6CFE"/>
    <w:rsid w:val="001D5159"/>
    <w:rsid w:val="001D5A77"/>
    <w:rsid w:val="001E0C79"/>
    <w:rsid w:val="001E10DB"/>
    <w:rsid w:val="001E59D3"/>
    <w:rsid w:val="001E6AE7"/>
    <w:rsid w:val="001F273F"/>
    <w:rsid w:val="001F700A"/>
    <w:rsid w:val="0020192E"/>
    <w:rsid w:val="0020699C"/>
    <w:rsid w:val="002071AA"/>
    <w:rsid w:val="00211ADC"/>
    <w:rsid w:val="0023305E"/>
    <w:rsid w:val="00234A97"/>
    <w:rsid w:val="002438AA"/>
    <w:rsid w:val="0024565D"/>
    <w:rsid w:val="00257E72"/>
    <w:rsid w:val="002663D0"/>
    <w:rsid w:val="002679A5"/>
    <w:rsid w:val="00270CA4"/>
    <w:rsid w:val="00275E36"/>
    <w:rsid w:val="00276A24"/>
    <w:rsid w:val="00286380"/>
    <w:rsid w:val="0029674D"/>
    <w:rsid w:val="002A0180"/>
    <w:rsid w:val="002A22B2"/>
    <w:rsid w:val="002A6F4F"/>
    <w:rsid w:val="002B644E"/>
    <w:rsid w:val="002B6455"/>
    <w:rsid w:val="002C1BB6"/>
    <w:rsid w:val="002C5EFE"/>
    <w:rsid w:val="002E0374"/>
    <w:rsid w:val="002E6701"/>
    <w:rsid w:val="002F06D8"/>
    <w:rsid w:val="002F38B4"/>
    <w:rsid w:val="002F3D8F"/>
    <w:rsid w:val="00300B77"/>
    <w:rsid w:val="00303DAB"/>
    <w:rsid w:val="00312241"/>
    <w:rsid w:val="003125A1"/>
    <w:rsid w:val="00315F1B"/>
    <w:rsid w:val="00322E90"/>
    <w:rsid w:val="00330EEB"/>
    <w:rsid w:val="0034159F"/>
    <w:rsid w:val="003418CF"/>
    <w:rsid w:val="00342E0B"/>
    <w:rsid w:val="003437FB"/>
    <w:rsid w:val="00344534"/>
    <w:rsid w:val="00346EA7"/>
    <w:rsid w:val="00347872"/>
    <w:rsid w:val="00353B81"/>
    <w:rsid w:val="0037391E"/>
    <w:rsid w:val="00374800"/>
    <w:rsid w:val="00375356"/>
    <w:rsid w:val="003771C6"/>
    <w:rsid w:val="00381594"/>
    <w:rsid w:val="003862E4"/>
    <w:rsid w:val="00396B87"/>
    <w:rsid w:val="003A2015"/>
    <w:rsid w:val="003A233A"/>
    <w:rsid w:val="003A50B5"/>
    <w:rsid w:val="003A76E9"/>
    <w:rsid w:val="003B22CC"/>
    <w:rsid w:val="003B6BB5"/>
    <w:rsid w:val="003C0DD9"/>
    <w:rsid w:val="003C14F2"/>
    <w:rsid w:val="003D1166"/>
    <w:rsid w:val="003E3D1A"/>
    <w:rsid w:val="003E4D9E"/>
    <w:rsid w:val="003F5DA8"/>
    <w:rsid w:val="003F716D"/>
    <w:rsid w:val="00403319"/>
    <w:rsid w:val="0040602C"/>
    <w:rsid w:val="00407DE9"/>
    <w:rsid w:val="00407ED6"/>
    <w:rsid w:val="0041189C"/>
    <w:rsid w:val="00420A13"/>
    <w:rsid w:val="0043514D"/>
    <w:rsid w:val="00437BE9"/>
    <w:rsid w:val="00452039"/>
    <w:rsid w:val="004658F1"/>
    <w:rsid w:val="0047023E"/>
    <w:rsid w:val="0047276F"/>
    <w:rsid w:val="00474150"/>
    <w:rsid w:val="00480978"/>
    <w:rsid w:val="00480D4A"/>
    <w:rsid w:val="0048607D"/>
    <w:rsid w:val="004874AA"/>
    <w:rsid w:val="00495498"/>
    <w:rsid w:val="004A4702"/>
    <w:rsid w:val="004C23B6"/>
    <w:rsid w:val="004C36C5"/>
    <w:rsid w:val="004C4456"/>
    <w:rsid w:val="004C5821"/>
    <w:rsid w:val="004C6CB4"/>
    <w:rsid w:val="004D2EF5"/>
    <w:rsid w:val="004D5BA8"/>
    <w:rsid w:val="004D7242"/>
    <w:rsid w:val="004E5754"/>
    <w:rsid w:val="004E57B7"/>
    <w:rsid w:val="004F3629"/>
    <w:rsid w:val="004F4713"/>
    <w:rsid w:val="004F57F3"/>
    <w:rsid w:val="00502C57"/>
    <w:rsid w:val="00507600"/>
    <w:rsid w:val="00527250"/>
    <w:rsid w:val="0053253B"/>
    <w:rsid w:val="005349EB"/>
    <w:rsid w:val="0053628D"/>
    <w:rsid w:val="00540AEB"/>
    <w:rsid w:val="00541A46"/>
    <w:rsid w:val="00550AAE"/>
    <w:rsid w:val="00553AB1"/>
    <w:rsid w:val="0056009A"/>
    <w:rsid w:val="00567EBE"/>
    <w:rsid w:val="00571B6D"/>
    <w:rsid w:val="0058648B"/>
    <w:rsid w:val="005A4DBD"/>
    <w:rsid w:val="005B1A39"/>
    <w:rsid w:val="005B2B4C"/>
    <w:rsid w:val="005B5E39"/>
    <w:rsid w:val="005B7F83"/>
    <w:rsid w:val="005D1843"/>
    <w:rsid w:val="005D4DF9"/>
    <w:rsid w:val="005E19CD"/>
    <w:rsid w:val="005F25EC"/>
    <w:rsid w:val="005F2741"/>
    <w:rsid w:val="005F301D"/>
    <w:rsid w:val="00636529"/>
    <w:rsid w:val="00636A02"/>
    <w:rsid w:val="0064028D"/>
    <w:rsid w:val="00640638"/>
    <w:rsid w:val="006422F4"/>
    <w:rsid w:val="0064387C"/>
    <w:rsid w:val="00656476"/>
    <w:rsid w:val="00657EC8"/>
    <w:rsid w:val="0066260E"/>
    <w:rsid w:val="0066316A"/>
    <w:rsid w:val="00663A1A"/>
    <w:rsid w:val="006815A5"/>
    <w:rsid w:val="00695F66"/>
    <w:rsid w:val="006977CC"/>
    <w:rsid w:val="006B0B43"/>
    <w:rsid w:val="006B2D8B"/>
    <w:rsid w:val="006B5E92"/>
    <w:rsid w:val="006C2131"/>
    <w:rsid w:val="006C5676"/>
    <w:rsid w:val="006C60CA"/>
    <w:rsid w:val="006C6439"/>
    <w:rsid w:val="006C7069"/>
    <w:rsid w:val="006C778B"/>
    <w:rsid w:val="006D1994"/>
    <w:rsid w:val="006E4E27"/>
    <w:rsid w:val="006F3BF0"/>
    <w:rsid w:val="006F6EA4"/>
    <w:rsid w:val="00703E40"/>
    <w:rsid w:val="00704886"/>
    <w:rsid w:val="0071069C"/>
    <w:rsid w:val="00720F2B"/>
    <w:rsid w:val="007268FC"/>
    <w:rsid w:val="00727F85"/>
    <w:rsid w:val="00731016"/>
    <w:rsid w:val="007347D4"/>
    <w:rsid w:val="00735508"/>
    <w:rsid w:val="007523AE"/>
    <w:rsid w:val="0075794A"/>
    <w:rsid w:val="00757A63"/>
    <w:rsid w:val="007627E0"/>
    <w:rsid w:val="0076752E"/>
    <w:rsid w:val="0077082C"/>
    <w:rsid w:val="00771690"/>
    <w:rsid w:val="00771E79"/>
    <w:rsid w:val="0077245E"/>
    <w:rsid w:val="00776188"/>
    <w:rsid w:val="00781A8B"/>
    <w:rsid w:val="00781ED6"/>
    <w:rsid w:val="00782E09"/>
    <w:rsid w:val="00787488"/>
    <w:rsid w:val="0078791D"/>
    <w:rsid w:val="00793FA5"/>
    <w:rsid w:val="007B185B"/>
    <w:rsid w:val="007B1FB4"/>
    <w:rsid w:val="007B2A84"/>
    <w:rsid w:val="007B2C32"/>
    <w:rsid w:val="007B2E3E"/>
    <w:rsid w:val="007B4916"/>
    <w:rsid w:val="007B515E"/>
    <w:rsid w:val="007B5CF8"/>
    <w:rsid w:val="007B6E4A"/>
    <w:rsid w:val="007C3A10"/>
    <w:rsid w:val="007D2A36"/>
    <w:rsid w:val="007E0D0E"/>
    <w:rsid w:val="007E1054"/>
    <w:rsid w:val="007E6E7C"/>
    <w:rsid w:val="007F3B9F"/>
    <w:rsid w:val="007F3CD9"/>
    <w:rsid w:val="007F7C74"/>
    <w:rsid w:val="008022E0"/>
    <w:rsid w:val="0081399F"/>
    <w:rsid w:val="00821CE6"/>
    <w:rsid w:val="00823089"/>
    <w:rsid w:val="00835A1C"/>
    <w:rsid w:val="00836A05"/>
    <w:rsid w:val="0085153F"/>
    <w:rsid w:val="00854482"/>
    <w:rsid w:val="0085462F"/>
    <w:rsid w:val="00857E34"/>
    <w:rsid w:val="00862594"/>
    <w:rsid w:val="0087029C"/>
    <w:rsid w:val="00873281"/>
    <w:rsid w:val="00876D33"/>
    <w:rsid w:val="00880D9A"/>
    <w:rsid w:val="0088290A"/>
    <w:rsid w:val="00884B0B"/>
    <w:rsid w:val="0088648A"/>
    <w:rsid w:val="0089003B"/>
    <w:rsid w:val="00890EB8"/>
    <w:rsid w:val="008937DE"/>
    <w:rsid w:val="00893C50"/>
    <w:rsid w:val="00897BAA"/>
    <w:rsid w:val="008A002F"/>
    <w:rsid w:val="008B1ADC"/>
    <w:rsid w:val="008B2960"/>
    <w:rsid w:val="008C02FA"/>
    <w:rsid w:val="008C083D"/>
    <w:rsid w:val="008D43F8"/>
    <w:rsid w:val="008F1C24"/>
    <w:rsid w:val="00901CF2"/>
    <w:rsid w:val="00911493"/>
    <w:rsid w:val="00924763"/>
    <w:rsid w:val="00925FA3"/>
    <w:rsid w:val="009279B9"/>
    <w:rsid w:val="009453CE"/>
    <w:rsid w:val="0095334C"/>
    <w:rsid w:val="00956BE2"/>
    <w:rsid w:val="00957551"/>
    <w:rsid w:val="00960566"/>
    <w:rsid w:val="00981E1C"/>
    <w:rsid w:val="00982267"/>
    <w:rsid w:val="00982CC7"/>
    <w:rsid w:val="00983AD0"/>
    <w:rsid w:val="00991636"/>
    <w:rsid w:val="0099219B"/>
    <w:rsid w:val="00993573"/>
    <w:rsid w:val="00996932"/>
    <w:rsid w:val="009B0303"/>
    <w:rsid w:val="009B03F1"/>
    <w:rsid w:val="009B569A"/>
    <w:rsid w:val="009D2BCC"/>
    <w:rsid w:val="009D3E15"/>
    <w:rsid w:val="009D483E"/>
    <w:rsid w:val="009D4AE3"/>
    <w:rsid w:val="009E27C2"/>
    <w:rsid w:val="009F0F1A"/>
    <w:rsid w:val="009F4EDF"/>
    <w:rsid w:val="00A00B98"/>
    <w:rsid w:val="00A0196B"/>
    <w:rsid w:val="00A05C2D"/>
    <w:rsid w:val="00A131B2"/>
    <w:rsid w:val="00A14FEA"/>
    <w:rsid w:val="00A24586"/>
    <w:rsid w:val="00A2502A"/>
    <w:rsid w:val="00A30D12"/>
    <w:rsid w:val="00A3441A"/>
    <w:rsid w:val="00A354B3"/>
    <w:rsid w:val="00A404C0"/>
    <w:rsid w:val="00A4488B"/>
    <w:rsid w:val="00A51E47"/>
    <w:rsid w:val="00A768A4"/>
    <w:rsid w:val="00A907D7"/>
    <w:rsid w:val="00A90948"/>
    <w:rsid w:val="00A946F0"/>
    <w:rsid w:val="00AA53C1"/>
    <w:rsid w:val="00AB30C3"/>
    <w:rsid w:val="00AB4CB5"/>
    <w:rsid w:val="00AB72A5"/>
    <w:rsid w:val="00AB76CD"/>
    <w:rsid w:val="00AC07AE"/>
    <w:rsid w:val="00AC1FE9"/>
    <w:rsid w:val="00AD429E"/>
    <w:rsid w:val="00AD6DB6"/>
    <w:rsid w:val="00AE15FE"/>
    <w:rsid w:val="00AF1612"/>
    <w:rsid w:val="00AF3133"/>
    <w:rsid w:val="00B030A3"/>
    <w:rsid w:val="00B07BDF"/>
    <w:rsid w:val="00B1507C"/>
    <w:rsid w:val="00B160F9"/>
    <w:rsid w:val="00B16E01"/>
    <w:rsid w:val="00B21B3C"/>
    <w:rsid w:val="00B27846"/>
    <w:rsid w:val="00B359EF"/>
    <w:rsid w:val="00B363F2"/>
    <w:rsid w:val="00B40805"/>
    <w:rsid w:val="00B40C54"/>
    <w:rsid w:val="00B42F58"/>
    <w:rsid w:val="00B44FF9"/>
    <w:rsid w:val="00B47154"/>
    <w:rsid w:val="00B50BAC"/>
    <w:rsid w:val="00B55E28"/>
    <w:rsid w:val="00B6354C"/>
    <w:rsid w:val="00B703CE"/>
    <w:rsid w:val="00B82F19"/>
    <w:rsid w:val="00B937DC"/>
    <w:rsid w:val="00BA71ED"/>
    <w:rsid w:val="00BA75A3"/>
    <w:rsid w:val="00BB2F09"/>
    <w:rsid w:val="00BB5505"/>
    <w:rsid w:val="00BB6F08"/>
    <w:rsid w:val="00BC2944"/>
    <w:rsid w:val="00BC3878"/>
    <w:rsid w:val="00BD1512"/>
    <w:rsid w:val="00BE032B"/>
    <w:rsid w:val="00BE346B"/>
    <w:rsid w:val="00BF08BD"/>
    <w:rsid w:val="00BF17EC"/>
    <w:rsid w:val="00BF4B26"/>
    <w:rsid w:val="00BF57DC"/>
    <w:rsid w:val="00C12418"/>
    <w:rsid w:val="00C2183A"/>
    <w:rsid w:val="00C263B0"/>
    <w:rsid w:val="00C315D7"/>
    <w:rsid w:val="00C31A8A"/>
    <w:rsid w:val="00C33F84"/>
    <w:rsid w:val="00C3441B"/>
    <w:rsid w:val="00C35113"/>
    <w:rsid w:val="00C37891"/>
    <w:rsid w:val="00C428CF"/>
    <w:rsid w:val="00C50D2D"/>
    <w:rsid w:val="00C519E9"/>
    <w:rsid w:val="00C53CF8"/>
    <w:rsid w:val="00C57CF9"/>
    <w:rsid w:val="00C6334C"/>
    <w:rsid w:val="00C66B4F"/>
    <w:rsid w:val="00C70638"/>
    <w:rsid w:val="00C7500B"/>
    <w:rsid w:val="00C7770F"/>
    <w:rsid w:val="00C861B6"/>
    <w:rsid w:val="00C876DB"/>
    <w:rsid w:val="00C912B9"/>
    <w:rsid w:val="00C938C4"/>
    <w:rsid w:val="00CA2E64"/>
    <w:rsid w:val="00CA3E08"/>
    <w:rsid w:val="00CA3FE1"/>
    <w:rsid w:val="00CA70D8"/>
    <w:rsid w:val="00CB3D31"/>
    <w:rsid w:val="00CC767D"/>
    <w:rsid w:val="00CD4D50"/>
    <w:rsid w:val="00CE1429"/>
    <w:rsid w:val="00CE16CA"/>
    <w:rsid w:val="00CE50BE"/>
    <w:rsid w:val="00CE6CFB"/>
    <w:rsid w:val="00D00807"/>
    <w:rsid w:val="00D0311E"/>
    <w:rsid w:val="00D063DA"/>
    <w:rsid w:val="00D113D5"/>
    <w:rsid w:val="00D11B48"/>
    <w:rsid w:val="00D16ACA"/>
    <w:rsid w:val="00D1708D"/>
    <w:rsid w:val="00D23483"/>
    <w:rsid w:val="00D31D29"/>
    <w:rsid w:val="00D35C56"/>
    <w:rsid w:val="00D367BF"/>
    <w:rsid w:val="00D5030D"/>
    <w:rsid w:val="00D5690F"/>
    <w:rsid w:val="00D57854"/>
    <w:rsid w:val="00D64E36"/>
    <w:rsid w:val="00D804A3"/>
    <w:rsid w:val="00D80D41"/>
    <w:rsid w:val="00D82FEF"/>
    <w:rsid w:val="00D84A9F"/>
    <w:rsid w:val="00D91A1F"/>
    <w:rsid w:val="00DA1273"/>
    <w:rsid w:val="00DA3F99"/>
    <w:rsid w:val="00DB009E"/>
    <w:rsid w:val="00DB437C"/>
    <w:rsid w:val="00DB450E"/>
    <w:rsid w:val="00DB709B"/>
    <w:rsid w:val="00DC5B83"/>
    <w:rsid w:val="00DC68D7"/>
    <w:rsid w:val="00DD1D77"/>
    <w:rsid w:val="00DD6932"/>
    <w:rsid w:val="00DF148B"/>
    <w:rsid w:val="00DF662F"/>
    <w:rsid w:val="00E0431E"/>
    <w:rsid w:val="00E11BB2"/>
    <w:rsid w:val="00E1277F"/>
    <w:rsid w:val="00E166B5"/>
    <w:rsid w:val="00E177D8"/>
    <w:rsid w:val="00E2148C"/>
    <w:rsid w:val="00E27D11"/>
    <w:rsid w:val="00E35E2D"/>
    <w:rsid w:val="00E36870"/>
    <w:rsid w:val="00E41AE4"/>
    <w:rsid w:val="00E44D18"/>
    <w:rsid w:val="00E471FE"/>
    <w:rsid w:val="00E5373D"/>
    <w:rsid w:val="00E55956"/>
    <w:rsid w:val="00E618A6"/>
    <w:rsid w:val="00E62BE0"/>
    <w:rsid w:val="00E720D9"/>
    <w:rsid w:val="00E721FA"/>
    <w:rsid w:val="00E731E0"/>
    <w:rsid w:val="00E76C26"/>
    <w:rsid w:val="00E93C8B"/>
    <w:rsid w:val="00EA02F6"/>
    <w:rsid w:val="00EA0D01"/>
    <w:rsid w:val="00EA70C2"/>
    <w:rsid w:val="00EC4DE0"/>
    <w:rsid w:val="00EC505E"/>
    <w:rsid w:val="00ED21A7"/>
    <w:rsid w:val="00ED5C21"/>
    <w:rsid w:val="00EE11D1"/>
    <w:rsid w:val="00EE14CB"/>
    <w:rsid w:val="00EE3B21"/>
    <w:rsid w:val="00EE5C5D"/>
    <w:rsid w:val="00EE693D"/>
    <w:rsid w:val="00EF23A4"/>
    <w:rsid w:val="00EF271B"/>
    <w:rsid w:val="00EF5BB5"/>
    <w:rsid w:val="00F1151C"/>
    <w:rsid w:val="00F11771"/>
    <w:rsid w:val="00F120B1"/>
    <w:rsid w:val="00F2645B"/>
    <w:rsid w:val="00F276FA"/>
    <w:rsid w:val="00F333AB"/>
    <w:rsid w:val="00F376E8"/>
    <w:rsid w:val="00F45400"/>
    <w:rsid w:val="00F52902"/>
    <w:rsid w:val="00F53AD2"/>
    <w:rsid w:val="00F61002"/>
    <w:rsid w:val="00F6530B"/>
    <w:rsid w:val="00F74680"/>
    <w:rsid w:val="00F76DAC"/>
    <w:rsid w:val="00F81886"/>
    <w:rsid w:val="00F8266B"/>
    <w:rsid w:val="00F82BDB"/>
    <w:rsid w:val="00F848EA"/>
    <w:rsid w:val="00F90DB4"/>
    <w:rsid w:val="00FB1B0D"/>
    <w:rsid w:val="00FB3233"/>
    <w:rsid w:val="00FB6942"/>
    <w:rsid w:val="00FC08F5"/>
    <w:rsid w:val="00FC2092"/>
    <w:rsid w:val="00FC4575"/>
    <w:rsid w:val="00FD1169"/>
    <w:rsid w:val="00FD37C6"/>
    <w:rsid w:val="00FD72DC"/>
    <w:rsid w:val="00FE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8F7BBB"/>
  <w15:docId w15:val="{B8791B8A-7F24-3943-9643-47704035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3C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3CD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F3C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95F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71E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1ED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41AE4"/>
    <w:rPr>
      <w:color w:val="954F72" w:themeColor="followedHyperlink"/>
      <w:u w:val="single"/>
    </w:rPr>
  </w:style>
  <w:style w:type="character" w:customStyle="1" w:styleId="nowrap">
    <w:name w:val="nowrap"/>
    <w:basedOn w:val="DefaultParagraphFont"/>
    <w:rsid w:val="00E93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5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1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b.ac.uk/schools/SchoolofPharmacy/Research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qub.ac.uk/schools/SchoolofPharmacy/Research/PostgraduatePosi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p.qub.ac.uk/portal/user/u_login.php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 Belfast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Jess</dc:creator>
  <cp:lastModifiedBy>Heather Barry</cp:lastModifiedBy>
  <cp:revision>58</cp:revision>
  <cp:lastPrinted>2018-11-27T21:36:00Z</cp:lastPrinted>
  <dcterms:created xsi:type="dcterms:W3CDTF">2021-11-05T22:12:00Z</dcterms:created>
  <dcterms:modified xsi:type="dcterms:W3CDTF">2021-11-05T23:55:00Z</dcterms:modified>
</cp:coreProperties>
</file>