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7B67EA08" w:rsidR="007F3CD9" w:rsidRPr="001D5159" w:rsidRDefault="00D120CA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Infection control in care homes for older people</w:t>
            </w:r>
            <w:r w:rsidR="00577452">
              <w:rPr>
                <w:rFonts w:ascii="Calibri" w:hAnsi="Calibri"/>
              </w:rPr>
              <w:t xml:space="preserve">: </w:t>
            </w:r>
            <w:r w:rsidR="008406D2">
              <w:rPr>
                <w:rFonts w:ascii="Calibri" w:hAnsi="Calibri"/>
              </w:rPr>
              <w:t>beyond the COVID era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7581B805" w14:textId="77777777" w:rsidR="00D2184B" w:rsidRDefault="00D2184B" w:rsidP="00D2184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7D8EA8" w14:textId="77777777" w:rsidR="00D2184B" w:rsidRDefault="00D2184B" w:rsidP="00D2184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FF48B0" w14:textId="66D17C6D" w:rsidR="007F3CD9" w:rsidRPr="00D2184B" w:rsidRDefault="00D2184B" w:rsidP="00D2184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69C31F4A" w14:textId="2217503E" w:rsidR="00590A0D" w:rsidRPr="001D5159" w:rsidRDefault="008406D2" w:rsidP="00782A06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Care homes for older people experienced high levels of infection and death during the COVID-19 pandemic</w:t>
            </w:r>
            <w:r w:rsidR="00A8611C">
              <w:rPr>
                <w:rFonts w:ascii="Calibri" w:hAnsi="Calibri"/>
                <w:lang w:val="en-US"/>
              </w:rPr>
              <w:t xml:space="preserve">, and it is now recognized that these health care facilities were largely forgotten about and </w:t>
            </w:r>
            <w:r w:rsidR="00E45732">
              <w:rPr>
                <w:rFonts w:ascii="Calibri" w:hAnsi="Calibri"/>
                <w:lang w:val="en-US"/>
              </w:rPr>
              <w:t xml:space="preserve">poorly resourced. This project will </w:t>
            </w:r>
            <w:r w:rsidR="00782A06">
              <w:rPr>
                <w:rFonts w:ascii="Calibri" w:hAnsi="Calibri"/>
                <w:lang w:val="en-US"/>
              </w:rPr>
              <w:t xml:space="preserve">determine if prevalence of SARS CoV-2 and influenza in this setting can be measured using waste water-based epidemiology and near-site testing/tracking with a view to development of appropriate infection control interventions.  </w:t>
            </w: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0D6D4671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611183">
              <w:rPr>
                <w:rFonts w:ascii="Calibri" w:hAnsi="Calibri"/>
              </w:rPr>
              <w:t>Prof. Carmel Hug</w:t>
            </w:r>
            <w:r w:rsidR="001D1871">
              <w:rPr>
                <w:rFonts w:ascii="Calibri" w:hAnsi="Calibri"/>
              </w:rPr>
              <w:t>hes</w:t>
            </w:r>
            <w:r w:rsidR="00BA50E4">
              <w:rPr>
                <w:rFonts w:ascii="Calibri" w:hAnsi="Calibri"/>
              </w:rPr>
              <w:t>, Dr. Deirdre Gilpin, Prof. Michael Tunney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67277FAC" w:rsidR="007F3CD9" w:rsidRPr="001D5159" w:rsidRDefault="001D18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UK/EU</w:t>
            </w: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2A7C06F3" w14:textId="77777777" w:rsidR="007F3CD9" w:rsidRDefault="001D1871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1</w:t>
            </w:r>
            <w:r w:rsidRPr="001D1871"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2022</w:t>
            </w:r>
          </w:p>
          <w:p w14:paraId="4010ABC3" w14:textId="43344FC1" w:rsidR="001D1871" w:rsidRPr="001D5159" w:rsidRDefault="001D1871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Three years full time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68A3C330" w:rsidR="001B792D" w:rsidRPr="001D5159" w:rsidRDefault="000D7446">
            <w:pPr>
              <w:rPr>
                <w:rFonts w:ascii="Calibri" w:hAnsi="Calibri"/>
              </w:rPr>
            </w:pPr>
            <w:r>
              <w:t xml:space="preserve">Infection and </w:t>
            </w:r>
            <w:r w:rsidR="00740158">
              <w:t>Antimicrobial Resistance,</w:t>
            </w:r>
            <w:r w:rsidR="00577452">
              <w:t xml:space="preserve"> Health care delivery and medicines optimisation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18C93AE8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D2184B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D2184B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D2184B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2224F876" w:rsidR="001B792D" w:rsidRPr="001D5159" w:rsidRDefault="00627519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Care homes, older people, COVID,</w:t>
            </w:r>
            <w:r w:rsidR="005E2D29">
              <w:rPr>
                <w:rFonts w:ascii="Calibri" w:hAnsi="Calibri"/>
              </w:rPr>
              <w:t xml:space="preserve"> SARS CoV-2</w:t>
            </w:r>
            <w:r>
              <w:rPr>
                <w:rFonts w:ascii="Calibri" w:hAnsi="Calibri"/>
              </w:rPr>
              <w:t xml:space="preserve">, </w:t>
            </w:r>
            <w:r w:rsidR="00CA1386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nfluenza</w:t>
            </w:r>
            <w:r w:rsidR="005E2D29">
              <w:rPr>
                <w:rFonts w:ascii="Calibri" w:hAnsi="Calibri"/>
              </w:rPr>
              <w:t xml:space="preserve">, </w:t>
            </w:r>
            <w:r w:rsidR="00CA1386">
              <w:rPr>
                <w:rFonts w:ascii="Calibri" w:hAnsi="Calibri"/>
              </w:rPr>
              <w:t>infection control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77777777" w:rsidR="00090D75" w:rsidRDefault="00090D75" w:rsidP="0066260E">
            <w:pPr>
              <w:jc w:val="both"/>
              <w:rPr>
                <w:rFonts w:ascii="Calibri" w:hAnsi="Calibri"/>
              </w:rPr>
            </w:pPr>
          </w:p>
          <w:p w14:paraId="50C40384" w14:textId="0A26382A" w:rsidR="00090D75" w:rsidRPr="001D5159" w:rsidRDefault="00124409" w:rsidP="00090D75">
            <w:pPr>
              <w:jc w:val="both"/>
              <w:rPr>
                <w:rFonts w:ascii="Calibri" w:hAnsi="Calibri"/>
              </w:rPr>
            </w:pPr>
            <w:r>
              <w:t xml:space="preserve">The student will receive training in relevant quantitative methodologies and the use of </w:t>
            </w:r>
            <w:r w:rsidR="0029775B">
              <w:t>appropriate</w:t>
            </w:r>
            <w:r>
              <w:t xml:space="preserve"> laboratory equipment</w:t>
            </w:r>
            <w:r w:rsidR="0029775B">
              <w:t xml:space="preserve">, and other generic research skills such as project management, scientific writing, </w:t>
            </w:r>
            <w:r w:rsidR="00DB7D9E">
              <w:t xml:space="preserve">data analysis </w:t>
            </w:r>
            <w:r w:rsidR="0029775B">
              <w:t>and delivering presentations</w:t>
            </w: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60156CA6" w:rsidR="001B792D" w:rsidRPr="001D5159" w:rsidRDefault="009654D5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Infection control in care homes is critical due to the vulnerability of residents.  This project will assess new ways in which infection control could be optimised </w:t>
            </w:r>
            <w:r w:rsidR="00C05DD9">
              <w:rPr>
                <w:rFonts w:ascii="Calibri" w:hAnsi="Calibri"/>
              </w:rPr>
              <w:t>in this setting, and offer appropriate strategies in the event of future pandemics or other areas of infection control concern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316D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D7446"/>
    <w:rsid w:val="000F0B0E"/>
    <w:rsid w:val="000F380D"/>
    <w:rsid w:val="000F550F"/>
    <w:rsid w:val="000F6B4D"/>
    <w:rsid w:val="000F6C8E"/>
    <w:rsid w:val="00100C14"/>
    <w:rsid w:val="00114809"/>
    <w:rsid w:val="001215F1"/>
    <w:rsid w:val="00124409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76DB6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1871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9775B"/>
    <w:rsid w:val="002A0180"/>
    <w:rsid w:val="002A22B2"/>
    <w:rsid w:val="002A22B3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08D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B25BE"/>
    <w:rsid w:val="004C23B6"/>
    <w:rsid w:val="004C36C5"/>
    <w:rsid w:val="004C3E6F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77452"/>
    <w:rsid w:val="0058648B"/>
    <w:rsid w:val="00590A0D"/>
    <w:rsid w:val="005A4DBD"/>
    <w:rsid w:val="005B1A39"/>
    <w:rsid w:val="005B5E39"/>
    <w:rsid w:val="005B7F83"/>
    <w:rsid w:val="005D1843"/>
    <w:rsid w:val="005D4DF9"/>
    <w:rsid w:val="005E19CD"/>
    <w:rsid w:val="005E2D29"/>
    <w:rsid w:val="005F2741"/>
    <w:rsid w:val="005F301D"/>
    <w:rsid w:val="00611183"/>
    <w:rsid w:val="0061483E"/>
    <w:rsid w:val="00627519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40158"/>
    <w:rsid w:val="007523AE"/>
    <w:rsid w:val="00752F64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A0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406D2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654D5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8611C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30D2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50E4"/>
    <w:rsid w:val="00BA71ED"/>
    <w:rsid w:val="00BA75A3"/>
    <w:rsid w:val="00BB6F08"/>
    <w:rsid w:val="00BB6FB4"/>
    <w:rsid w:val="00BC2944"/>
    <w:rsid w:val="00BC3878"/>
    <w:rsid w:val="00BE032B"/>
    <w:rsid w:val="00BE346B"/>
    <w:rsid w:val="00BF08BD"/>
    <w:rsid w:val="00BF17EC"/>
    <w:rsid w:val="00BF4B26"/>
    <w:rsid w:val="00BF57DC"/>
    <w:rsid w:val="00C05DD9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1386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20CA"/>
    <w:rsid w:val="00D1708D"/>
    <w:rsid w:val="00D2184B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B7D9E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35F2"/>
    <w:rsid w:val="00E44D18"/>
    <w:rsid w:val="00E45732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3E02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A6C1E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styleId="Revision">
    <w:name w:val="Revision"/>
    <w:hidden/>
    <w:uiPriority w:val="99"/>
    <w:semiHidden/>
    <w:rsid w:val="00782A06"/>
    <w:pPr>
      <w:spacing w:after="0" w:line="240" w:lineRule="auto"/>
    </w:pPr>
  </w:style>
  <w:style w:type="paragraph" w:customStyle="1" w:styleId="paragraph">
    <w:name w:val="paragraph"/>
    <w:basedOn w:val="Normal"/>
    <w:rsid w:val="00D2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2184B"/>
  </w:style>
  <w:style w:type="character" w:customStyle="1" w:styleId="eop">
    <w:name w:val="eop"/>
    <w:basedOn w:val="DefaultParagraphFont"/>
    <w:rsid w:val="00D2184B"/>
  </w:style>
  <w:style w:type="character" w:styleId="Strong">
    <w:name w:val="Strong"/>
    <w:basedOn w:val="DefaultParagraphFont"/>
    <w:uiPriority w:val="22"/>
    <w:qFormat/>
    <w:rsid w:val="00D21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4</cp:revision>
  <cp:lastPrinted>2018-11-27T21:36:00Z</cp:lastPrinted>
  <dcterms:created xsi:type="dcterms:W3CDTF">2021-11-05T09:49:00Z</dcterms:created>
  <dcterms:modified xsi:type="dcterms:W3CDTF">2021-11-19T12:22:00Z</dcterms:modified>
</cp:coreProperties>
</file>