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70E8B0" w14:textId="18B8280A" w:rsidR="002E0374" w:rsidRDefault="007F3CD9" w:rsidP="007F3CD9">
      <w:pPr>
        <w:pStyle w:val="Heading1"/>
      </w:pPr>
      <w:r>
        <w:t>PGR Studentship Information Template</w:t>
      </w:r>
      <w:r w:rsidR="00695F66">
        <w:t xml:space="preserve"> 20</w:t>
      </w:r>
      <w:r w:rsidR="00612977">
        <w:t>2</w:t>
      </w:r>
      <w:r w:rsidR="00526EC6">
        <w:t>2</w:t>
      </w:r>
      <w:r w:rsidR="00695F66">
        <w:t xml:space="preserve"> entry</w:t>
      </w:r>
    </w:p>
    <w:p w14:paraId="239B6C33" w14:textId="77777777" w:rsidR="007F3CD9" w:rsidRDefault="007F3CD9"/>
    <w:p w14:paraId="1C92A637" w14:textId="77777777" w:rsidR="00695F66" w:rsidRDefault="00695F66" w:rsidP="00695F66">
      <w:pPr>
        <w:pStyle w:val="ListParagraph"/>
        <w:numPr>
          <w:ilvl w:val="0"/>
          <w:numId w:val="1"/>
        </w:numPr>
      </w:pPr>
      <w:r>
        <w:t xml:space="preserve">Please complete the template with as much information as possible. </w:t>
      </w:r>
    </w:p>
    <w:p w14:paraId="40FF3C9C" w14:textId="77777777" w:rsidR="001976E1" w:rsidRDefault="00695F66" w:rsidP="00695F66">
      <w:pPr>
        <w:pStyle w:val="ListParagraph"/>
        <w:numPr>
          <w:ilvl w:val="0"/>
          <w:numId w:val="1"/>
        </w:numPr>
      </w:pPr>
      <w:r>
        <w:t>*fields are essential.</w:t>
      </w:r>
    </w:p>
    <w:p w14:paraId="1AC50218" w14:textId="5C787949" w:rsidR="00695F66" w:rsidRDefault="00695F66" w:rsidP="00695F66">
      <w:pPr>
        <w:pStyle w:val="ListParagraph"/>
        <w:numPr>
          <w:ilvl w:val="0"/>
          <w:numId w:val="1"/>
        </w:numPr>
      </w:pPr>
      <w:r>
        <w:t xml:space="preserve">If you have information that does not have a </w:t>
      </w:r>
      <w:r w:rsidR="00BA71ED">
        <w:t>l</w:t>
      </w:r>
      <w:r w:rsidR="00957551">
        <w:t>abel</w:t>
      </w:r>
      <w:r>
        <w:t xml:space="preserve">, please create a new row in the table for it. </w:t>
      </w:r>
    </w:p>
    <w:p w14:paraId="12EE08E5" w14:textId="77777777" w:rsidR="001976E1" w:rsidRDefault="001976E1"/>
    <w:tbl>
      <w:tblPr>
        <w:tblStyle w:val="TableGrid"/>
        <w:tblW w:w="9150" w:type="dxa"/>
        <w:tblLook w:val="04A0" w:firstRow="1" w:lastRow="0" w:firstColumn="1" w:lastColumn="0" w:noHBand="0" w:noVBand="1"/>
      </w:tblPr>
      <w:tblGrid>
        <w:gridCol w:w="1522"/>
        <w:gridCol w:w="7789"/>
      </w:tblGrid>
      <w:tr w:rsidR="007F3CD9" w14:paraId="139BB1E1" w14:textId="77777777" w:rsidTr="007F3CD9">
        <w:trPr>
          <w:trHeight w:val="470"/>
        </w:trPr>
        <w:tc>
          <w:tcPr>
            <w:tcW w:w="3304" w:type="dxa"/>
            <w:shd w:val="clear" w:color="auto" w:fill="DEEAF6" w:themeFill="accent1" w:themeFillTint="33"/>
          </w:tcPr>
          <w:p w14:paraId="50D7F92E" w14:textId="77777777" w:rsidR="007F3CD9" w:rsidRPr="007F3CD9" w:rsidRDefault="00695F66">
            <w:pPr>
              <w:rPr>
                <w:b/>
              </w:rPr>
            </w:pPr>
            <w:r>
              <w:rPr>
                <w:b/>
              </w:rPr>
              <w:t>*</w:t>
            </w:r>
            <w:r w:rsidR="007F3CD9" w:rsidRPr="007F3CD9">
              <w:rPr>
                <w:b/>
              </w:rPr>
              <w:t>Title of studentship</w:t>
            </w:r>
          </w:p>
        </w:tc>
        <w:tc>
          <w:tcPr>
            <w:tcW w:w="5846" w:type="dxa"/>
          </w:tcPr>
          <w:p w14:paraId="087F3833" w14:textId="46BA46F9" w:rsidR="007F3CD9" w:rsidRDefault="0081105B">
            <w:r w:rsidRPr="007E4CD3">
              <w:rPr>
                <w:rFonts w:ascii="Arial" w:hAnsi="Arial" w:cs="Arial"/>
                <w:color w:val="000000" w:themeColor="text1"/>
                <w:sz w:val="20"/>
              </w:rPr>
              <w:t xml:space="preserve">Injectable Hydrogels for Controlled </w:t>
            </w:r>
            <w:r>
              <w:rPr>
                <w:rFonts w:ascii="Arial" w:hAnsi="Arial" w:cs="Arial"/>
                <w:color w:val="000000" w:themeColor="text1"/>
                <w:sz w:val="20"/>
              </w:rPr>
              <w:t xml:space="preserve">Drug </w:t>
            </w:r>
            <w:r w:rsidRPr="007E4CD3">
              <w:rPr>
                <w:rFonts w:ascii="Arial" w:hAnsi="Arial" w:cs="Arial"/>
                <w:color w:val="000000" w:themeColor="text1"/>
                <w:sz w:val="20"/>
              </w:rPr>
              <w:t>Delivery in Cancer Treatment</w:t>
            </w:r>
            <w:r>
              <w:t xml:space="preserve"> </w:t>
            </w:r>
          </w:p>
        </w:tc>
      </w:tr>
      <w:tr w:rsidR="007F3CD9" w14:paraId="5693CC34" w14:textId="77777777" w:rsidTr="007F3CD9">
        <w:trPr>
          <w:trHeight w:val="444"/>
        </w:trPr>
        <w:tc>
          <w:tcPr>
            <w:tcW w:w="3304" w:type="dxa"/>
            <w:shd w:val="clear" w:color="auto" w:fill="DEEAF6" w:themeFill="accent1" w:themeFillTint="33"/>
          </w:tcPr>
          <w:p w14:paraId="5703C4CD" w14:textId="77777777" w:rsidR="007F3CD9" w:rsidRPr="007F3CD9" w:rsidRDefault="007F3CD9">
            <w:pPr>
              <w:rPr>
                <w:b/>
              </w:rPr>
            </w:pPr>
            <w:r w:rsidRPr="007F3CD9">
              <w:rPr>
                <w:b/>
              </w:rPr>
              <w:t>Value</w:t>
            </w:r>
            <w:r w:rsidR="000F380D">
              <w:rPr>
                <w:b/>
              </w:rPr>
              <w:t xml:space="preserve"> / what is covered? </w:t>
            </w:r>
          </w:p>
        </w:tc>
        <w:tc>
          <w:tcPr>
            <w:tcW w:w="5846" w:type="dxa"/>
          </w:tcPr>
          <w:p w14:paraId="478AD094" w14:textId="77777777" w:rsidR="00C10062" w:rsidRDefault="00C10062" w:rsidP="00C10062">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rPr>
              <w:t>Fully funded</w:t>
            </w:r>
            <w:r>
              <w:rPr>
                <w:rStyle w:val="eop"/>
                <w:rFonts w:ascii="Calibri" w:hAnsi="Calibri" w:cs="Calibri"/>
                <w:sz w:val="22"/>
                <w:szCs w:val="22"/>
              </w:rPr>
              <w:t> </w:t>
            </w:r>
          </w:p>
          <w:p w14:paraId="3370A026" w14:textId="77777777" w:rsidR="00C10062" w:rsidRDefault="00C10062" w:rsidP="00C10062">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04946EBE" w14:textId="5D71EE2C" w:rsidR="007F3CD9" w:rsidRPr="00C10062" w:rsidRDefault="00C10062" w:rsidP="00C10062">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rPr>
              <w:t>100% of UK/EU tuition fees paid and an annual stipend for UK residents only (living expenses), currently </w:t>
            </w:r>
            <w:r>
              <w:rPr>
                <w:rStyle w:val="normaltextrun"/>
                <w:rFonts w:asciiTheme="minorHAnsi" w:eastAsiaTheme="majorEastAsia" w:hAnsiTheme="minorHAnsi" w:cstheme="minorHAnsi"/>
                <w:sz w:val="22"/>
                <w:szCs w:val="22"/>
              </w:rPr>
              <w:t xml:space="preserve">at </w:t>
            </w:r>
            <w:r>
              <w:rPr>
                <w:rStyle w:val="Strong"/>
                <w:rFonts w:asciiTheme="minorHAnsi" w:hAnsiTheme="minorHAnsi" w:cstheme="minorHAnsi"/>
                <w:b w:val="0"/>
                <w:bCs w:val="0"/>
                <w:color w:val="111111"/>
                <w:sz w:val="22"/>
                <w:szCs w:val="22"/>
                <w:shd w:val="clear" w:color="auto" w:fill="FFFFFF"/>
              </w:rPr>
              <w:t>£15,285</w:t>
            </w:r>
          </w:p>
          <w:p w14:paraId="4D692A97" w14:textId="77777777" w:rsidR="007C3A10" w:rsidRDefault="007C3A10" w:rsidP="007C3A10"/>
        </w:tc>
      </w:tr>
      <w:tr w:rsidR="007F3CD9" w14:paraId="7BE5D50C" w14:textId="77777777" w:rsidTr="007F3CD9">
        <w:trPr>
          <w:trHeight w:val="470"/>
        </w:trPr>
        <w:tc>
          <w:tcPr>
            <w:tcW w:w="3304" w:type="dxa"/>
            <w:shd w:val="clear" w:color="auto" w:fill="DEEAF6" w:themeFill="accent1" w:themeFillTint="33"/>
          </w:tcPr>
          <w:p w14:paraId="7F0DCF90" w14:textId="77777777" w:rsidR="007F3CD9" w:rsidRPr="007F3CD9" w:rsidRDefault="007F3CD9">
            <w:pPr>
              <w:rPr>
                <w:b/>
              </w:rPr>
            </w:pPr>
            <w:r w:rsidRPr="007F3CD9">
              <w:rPr>
                <w:b/>
              </w:rPr>
              <w:t>Awarding body</w:t>
            </w:r>
          </w:p>
        </w:tc>
        <w:tc>
          <w:tcPr>
            <w:tcW w:w="5846" w:type="dxa"/>
          </w:tcPr>
          <w:p w14:paraId="4FE0BE00" w14:textId="0C53E0ED" w:rsidR="007F3CD9" w:rsidRDefault="007F3CD9"/>
        </w:tc>
      </w:tr>
      <w:tr w:rsidR="007F3CD9" w14:paraId="0FD83558" w14:textId="77777777" w:rsidTr="007F3CD9">
        <w:trPr>
          <w:trHeight w:val="444"/>
        </w:trPr>
        <w:tc>
          <w:tcPr>
            <w:tcW w:w="3304" w:type="dxa"/>
            <w:shd w:val="clear" w:color="auto" w:fill="DEEAF6" w:themeFill="accent1" w:themeFillTint="33"/>
          </w:tcPr>
          <w:p w14:paraId="3B2B1F67" w14:textId="77777777" w:rsidR="007F3CD9" w:rsidRPr="007F3CD9" w:rsidRDefault="007F3CD9">
            <w:pPr>
              <w:rPr>
                <w:b/>
              </w:rPr>
            </w:pPr>
            <w:r w:rsidRPr="007F3CD9">
              <w:rPr>
                <w:b/>
              </w:rPr>
              <w:t>Number of studentships</w:t>
            </w:r>
          </w:p>
        </w:tc>
        <w:tc>
          <w:tcPr>
            <w:tcW w:w="5846" w:type="dxa"/>
          </w:tcPr>
          <w:p w14:paraId="00607795" w14:textId="774D65A5" w:rsidR="007F3CD9" w:rsidRDefault="007F3CD9"/>
        </w:tc>
      </w:tr>
      <w:tr w:rsidR="007F3CD9" w14:paraId="7D945C08" w14:textId="77777777" w:rsidTr="007F3CD9">
        <w:trPr>
          <w:trHeight w:val="1412"/>
        </w:trPr>
        <w:tc>
          <w:tcPr>
            <w:tcW w:w="3304" w:type="dxa"/>
            <w:shd w:val="clear" w:color="auto" w:fill="DEEAF6" w:themeFill="accent1" w:themeFillTint="33"/>
          </w:tcPr>
          <w:p w14:paraId="74833CDF" w14:textId="77777777" w:rsidR="007F3CD9" w:rsidRPr="007F3CD9" w:rsidRDefault="00695F66">
            <w:pPr>
              <w:rPr>
                <w:b/>
              </w:rPr>
            </w:pPr>
            <w:r>
              <w:rPr>
                <w:b/>
              </w:rPr>
              <w:t>*</w:t>
            </w:r>
            <w:r w:rsidR="007F3CD9" w:rsidRPr="007F3CD9">
              <w:rPr>
                <w:b/>
              </w:rPr>
              <w:t xml:space="preserve">Summary </w:t>
            </w:r>
            <w:r w:rsidR="00270CA4">
              <w:rPr>
                <w:b/>
              </w:rPr>
              <w:t xml:space="preserve">descriptive </w:t>
            </w:r>
            <w:r w:rsidR="007F3CD9" w:rsidRPr="007F3CD9">
              <w:rPr>
                <w:b/>
              </w:rPr>
              <w:t>text</w:t>
            </w:r>
            <w:r w:rsidR="00270CA4">
              <w:rPr>
                <w:b/>
              </w:rPr>
              <w:t xml:space="preserve"> / Example of research project </w:t>
            </w:r>
          </w:p>
        </w:tc>
        <w:tc>
          <w:tcPr>
            <w:tcW w:w="5846" w:type="dxa"/>
          </w:tcPr>
          <w:p w14:paraId="7219B6CB" w14:textId="412B072D" w:rsidR="0081105B" w:rsidRPr="0081105B" w:rsidRDefault="0081105B" w:rsidP="0081105B">
            <w:pPr>
              <w:tabs>
                <w:tab w:val="left" w:pos="567"/>
                <w:tab w:val="left" w:pos="1134"/>
                <w:tab w:val="left" w:pos="1701"/>
                <w:tab w:val="left" w:pos="2268"/>
                <w:tab w:val="left" w:pos="2835"/>
                <w:tab w:val="left" w:pos="3402"/>
                <w:tab w:val="left" w:pos="3969"/>
                <w:tab w:val="left" w:pos="4535"/>
                <w:tab w:val="left" w:pos="5102"/>
                <w:tab w:val="left" w:pos="5669"/>
                <w:tab w:val="left" w:pos="6236"/>
              </w:tabs>
              <w:spacing w:after="80"/>
              <w:contextualSpacing/>
              <w:jc w:val="both"/>
              <w:rPr>
                <w:rFonts w:ascii="Helvetica" w:hAnsi="Helvetica"/>
                <w:b/>
                <w:bCs/>
                <w:sz w:val="18"/>
                <w:szCs w:val="18"/>
              </w:rPr>
            </w:pPr>
            <w:r w:rsidRPr="0081105B">
              <w:rPr>
                <w:rFonts w:ascii="Helvetica" w:hAnsi="Helvetica"/>
                <w:sz w:val="18"/>
                <w:szCs w:val="18"/>
              </w:rPr>
              <w:t xml:space="preserve">In situ </w:t>
            </w:r>
            <w:r>
              <w:rPr>
                <w:rFonts w:ascii="Helvetica" w:hAnsi="Helvetica"/>
                <w:sz w:val="18"/>
                <w:szCs w:val="18"/>
              </w:rPr>
              <w:t xml:space="preserve">depot </w:t>
            </w:r>
            <w:r w:rsidRPr="0081105B">
              <w:rPr>
                <w:rFonts w:ascii="Helvetica" w:hAnsi="Helvetica"/>
                <w:sz w:val="18"/>
                <w:szCs w:val="18"/>
              </w:rPr>
              <w:t>forming (IS</w:t>
            </w:r>
            <w:r>
              <w:rPr>
                <w:rFonts w:ascii="Helvetica" w:hAnsi="Helvetica"/>
                <w:sz w:val="18"/>
                <w:szCs w:val="18"/>
              </w:rPr>
              <w:t>D</w:t>
            </w:r>
            <w:r w:rsidRPr="0081105B">
              <w:rPr>
                <w:rFonts w:ascii="Helvetica" w:hAnsi="Helvetica"/>
                <w:sz w:val="18"/>
                <w:szCs w:val="18"/>
              </w:rPr>
              <w:t xml:space="preserve">F) drug delivery implants have gained tremendous interest over the last few decades. This is due to their wide range of biomedical applications such as in long-term drug delivery. Drug delivery implants forming upon injection has shown a range of advantages which include localized and systemic drug delivery, easy and less invasive application, sustained drug action, ability to tailor drug delivery, reduction in side effects associated with systemic delivery and improved patient compliance and comfort. Importantly, administration by this method allows the injection of a relatively low viscosity material into the body which then solidifies to form a semi-solid depot that controls the drug delivery to provide long-term therapeutic action. Such a technology can address an array of chronic diseases e.g., cancer, musculoskeletal diseases, antipsychotic therapy, birth control, HIV, vaccine and ocular diseases to name a few. </w:t>
            </w:r>
          </w:p>
          <w:p w14:paraId="6AECD4C4" w14:textId="1AAB4A88" w:rsidR="00456BB9" w:rsidRDefault="00456BB9" w:rsidP="00524C40">
            <w:pPr>
              <w:tabs>
                <w:tab w:val="left" w:pos="567"/>
                <w:tab w:val="left" w:pos="1134"/>
                <w:tab w:val="left" w:pos="1701"/>
                <w:tab w:val="left" w:pos="2268"/>
                <w:tab w:val="left" w:pos="2835"/>
                <w:tab w:val="left" w:pos="3402"/>
                <w:tab w:val="left" w:pos="3969"/>
                <w:tab w:val="left" w:pos="4535"/>
                <w:tab w:val="left" w:pos="5102"/>
                <w:tab w:val="left" w:pos="5669"/>
                <w:tab w:val="left" w:pos="6236"/>
              </w:tabs>
              <w:spacing w:after="80"/>
              <w:contextualSpacing/>
              <w:jc w:val="both"/>
              <w:rPr>
                <w:rFonts w:ascii="Helvetica" w:hAnsi="Helvetica"/>
                <w:sz w:val="18"/>
                <w:szCs w:val="18"/>
                <w:lang w:val="en-US"/>
              </w:rPr>
            </w:pPr>
          </w:p>
          <w:p w14:paraId="5BEA27BF" w14:textId="77777777" w:rsidR="0081105B" w:rsidRDefault="0081105B" w:rsidP="00456BB9">
            <w:pPr>
              <w:tabs>
                <w:tab w:val="left" w:pos="567"/>
                <w:tab w:val="left" w:pos="1134"/>
                <w:tab w:val="left" w:pos="1701"/>
                <w:tab w:val="left" w:pos="2268"/>
                <w:tab w:val="left" w:pos="2835"/>
                <w:tab w:val="left" w:pos="3402"/>
                <w:tab w:val="left" w:pos="3969"/>
                <w:tab w:val="left" w:pos="4535"/>
                <w:tab w:val="left" w:pos="5102"/>
                <w:tab w:val="left" w:pos="5669"/>
                <w:tab w:val="left" w:pos="6236"/>
              </w:tabs>
              <w:spacing w:after="80"/>
              <w:contextualSpacing/>
              <w:jc w:val="both"/>
              <w:rPr>
                <w:rFonts w:ascii="Helvetica" w:hAnsi="Helvetica"/>
                <w:sz w:val="18"/>
                <w:szCs w:val="18"/>
              </w:rPr>
            </w:pPr>
            <w:r>
              <w:rPr>
                <w:rFonts w:ascii="Helvetica" w:hAnsi="Helvetica"/>
                <w:sz w:val="18"/>
                <w:szCs w:val="18"/>
              </w:rPr>
              <w:t>This project addresses the need for better cancer treatment – which</w:t>
            </w:r>
            <w:r w:rsidRPr="0081105B">
              <w:rPr>
                <w:rFonts w:ascii="Helvetica" w:hAnsi="Helvetica"/>
                <w:sz w:val="18"/>
                <w:szCs w:val="18"/>
              </w:rPr>
              <w:t> remains a major burden worldwide, accounting for an estimated 9.6 million deaths in 2018 – about 1 in 6 deaths are due to cancer</w:t>
            </w:r>
            <w:r>
              <w:rPr>
                <w:rFonts w:ascii="Helvetica" w:hAnsi="Helvetica"/>
                <w:sz w:val="18"/>
                <w:szCs w:val="18"/>
              </w:rPr>
              <w:t xml:space="preserve">. </w:t>
            </w:r>
            <w:r w:rsidRPr="0081105B">
              <w:rPr>
                <w:rFonts w:ascii="Helvetica" w:hAnsi="Helvetica"/>
                <w:sz w:val="18"/>
                <w:szCs w:val="18"/>
              </w:rPr>
              <w:t>To improve the efficacy of chemotherapy and reduce side effects</w:t>
            </w:r>
            <w:r>
              <w:rPr>
                <w:rFonts w:ascii="Helvetica" w:hAnsi="Helvetica"/>
                <w:sz w:val="18"/>
                <w:szCs w:val="18"/>
              </w:rPr>
              <w:t xml:space="preserve">, the project proposes to develop novel ISDF </w:t>
            </w:r>
            <w:r w:rsidRPr="0081105B">
              <w:rPr>
                <w:rFonts w:ascii="Helvetica" w:hAnsi="Helvetica"/>
                <w:sz w:val="18"/>
                <w:szCs w:val="18"/>
              </w:rPr>
              <w:t xml:space="preserve">based injectable hydrogels. The hydrogels enable low volume injections of </w:t>
            </w:r>
            <w:r>
              <w:rPr>
                <w:rFonts w:ascii="Helvetica" w:hAnsi="Helvetica"/>
                <w:sz w:val="18"/>
                <w:szCs w:val="18"/>
              </w:rPr>
              <w:t>API (active pharmaceutical ingredient)</w:t>
            </w:r>
            <w:r w:rsidRPr="0081105B">
              <w:rPr>
                <w:rFonts w:ascii="Helvetica" w:hAnsi="Helvetica"/>
                <w:sz w:val="18"/>
                <w:szCs w:val="18"/>
              </w:rPr>
              <w:t xml:space="preserve"> that can sustain for long-term following subcutaneous injections in treating cancer. </w:t>
            </w:r>
          </w:p>
          <w:p w14:paraId="445E2FA1" w14:textId="77777777" w:rsidR="0081105B" w:rsidRDefault="0081105B" w:rsidP="00456BB9">
            <w:pPr>
              <w:tabs>
                <w:tab w:val="left" w:pos="567"/>
                <w:tab w:val="left" w:pos="1134"/>
                <w:tab w:val="left" w:pos="1701"/>
                <w:tab w:val="left" w:pos="2268"/>
                <w:tab w:val="left" w:pos="2835"/>
                <w:tab w:val="left" w:pos="3402"/>
                <w:tab w:val="left" w:pos="3969"/>
                <w:tab w:val="left" w:pos="4535"/>
                <w:tab w:val="left" w:pos="5102"/>
                <w:tab w:val="left" w:pos="5669"/>
                <w:tab w:val="left" w:pos="6236"/>
              </w:tabs>
              <w:spacing w:after="80"/>
              <w:contextualSpacing/>
              <w:jc w:val="both"/>
              <w:rPr>
                <w:rFonts w:ascii="Helvetica" w:hAnsi="Helvetica"/>
                <w:sz w:val="18"/>
                <w:szCs w:val="18"/>
              </w:rPr>
            </w:pPr>
          </w:p>
          <w:p w14:paraId="7243F9B2" w14:textId="156729E0" w:rsidR="00456BB9" w:rsidRDefault="0081105B" w:rsidP="00456BB9">
            <w:pPr>
              <w:tabs>
                <w:tab w:val="left" w:pos="567"/>
                <w:tab w:val="left" w:pos="1134"/>
                <w:tab w:val="left" w:pos="1701"/>
                <w:tab w:val="left" w:pos="2268"/>
                <w:tab w:val="left" w:pos="2835"/>
                <w:tab w:val="left" w:pos="3402"/>
                <w:tab w:val="left" w:pos="3969"/>
                <w:tab w:val="left" w:pos="4535"/>
                <w:tab w:val="left" w:pos="5102"/>
                <w:tab w:val="left" w:pos="5669"/>
                <w:tab w:val="left" w:pos="6236"/>
              </w:tabs>
              <w:spacing w:after="80"/>
              <w:contextualSpacing/>
              <w:jc w:val="both"/>
              <w:rPr>
                <w:rFonts w:ascii="Helvetica" w:hAnsi="Helvetica"/>
                <w:sz w:val="18"/>
                <w:szCs w:val="18"/>
                <w:lang w:val="en-US"/>
              </w:rPr>
            </w:pPr>
            <w:r w:rsidRPr="0081105B">
              <w:rPr>
                <w:rFonts w:ascii="Helvetica" w:hAnsi="Helvetica"/>
                <w:sz w:val="18"/>
                <w:szCs w:val="18"/>
              </w:rPr>
              <w:t xml:space="preserve">In this project, we will develop and characterize </w:t>
            </w:r>
            <w:r>
              <w:rPr>
                <w:rFonts w:ascii="Helvetica" w:hAnsi="Helvetica"/>
                <w:sz w:val="18"/>
                <w:szCs w:val="18"/>
              </w:rPr>
              <w:t>novel</w:t>
            </w:r>
            <w:r w:rsidRPr="0081105B">
              <w:rPr>
                <w:rFonts w:ascii="Helvetica" w:hAnsi="Helvetica"/>
                <w:sz w:val="18"/>
                <w:szCs w:val="18"/>
              </w:rPr>
              <w:t xml:space="preserve"> injectable </w:t>
            </w:r>
            <w:r>
              <w:rPr>
                <w:rFonts w:ascii="Helvetica" w:hAnsi="Helvetica"/>
                <w:sz w:val="18"/>
                <w:szCs w:val="18"/>
              </w:rPr>
              <w:t xml:space="preserve">ISDF </w:t>
            </w:r>
            <w:r w:rsidRPr="0081105B">
              <w:rPr>
                <w:rFonts w:ascii="Helvetica" w:hAnsi="Helvetica"/>
                <w:sz w:val="18"/>
                <w:szCs w:val="18"/>
              </w:rPr>
              <w:t xml:space="preserve">hydrogels and demonstrate </w:t>
            </w:r>
            <w:r>
              <w:rPr>
                <w:rFonts w:ascii="Helvetica" w:hAnsi="Helvetica"/>
                <w:sz w:val="18"/>
                <w:szCs w:val="18"/>
              </w:rPr>
              <w:t>it long-term delivery of</w:t>
            </w:r>
            <w:r w:rsidRPr="0081105B">
              <w:rPr>
                <w:rFonts w:ascii="Helvetica" w:hAnsi="Helvetica"/>
                <w:sz w:val="18"/>
                <w:szCs w:val="18"/>
              </w:rPr>
              <w:t xml:space="preserve"> </w:t>
            </w:r>
            <w:r>
              <w:rPr>
                <w:rFonts w:ascii="Helvetica" w:hAnsi="Helvetica"/>
                <w:sz w:val="18"/>
                <w:szCs w:val="18"/>
              </w:rPr>
              <w:t>API</w:t>
            </w:r>
            <w:r w:rsidRPr="0081105B">
              <w:rPr>
                <w:rFonts w:ascii="Helvetica" w:hAnsi="Helvetica"/>
                <w:sz w:val="18"/>
                <w:szCs w:val="18"/>
              </w:rPr>
              <w:t xml:space="preserve">. </w:t>
            </w:r>
            <w:r>
              <w:rPr>
                <w:rFonts w:ascii="Helvetica" w:hAnsi="Helvetica"/>
                <w:sz w:val="18"/>
                <w:szCs w:val="18"/>
              </w:rPr>
              <w:t xml:space="preserve">The selected </w:t>
            </w:r>
            <w:r w:rsidR="00456BB9" w:rsidRPr="00456BB9">
              <w:rPr>
                <w:rFonts w:ascii="Helvetica" w:hAnsi="Helvetica"/>
                <w:sz w:val="18"/>
                <w:szCs w:val="18"/>
                <w:lang w:val="en-US"/>
              </w:rPr>
              <w:t xml:space="preserve">student will </w:t>
            </w:r>
            <w:r>
              <w:rPr>
                <w:rFonts w:ascii="Helvetica" w:hAnsi="Helvetica"/>
                <w:sz w:val="18"/>
                <w:szCs w:val="18"/>
                <w:lang w:val="en-US"/>
              </w:rPr>
              <w:t xml:space="preserve">be involved in the </w:t>
            </w:r>
            <w:r w:rsidR="00456BB9" w:rsidRPr="00456BB9">
              <w:rPr>
                <w:rFonts w:ascii="Helvetica" w:hAnsi="Helvetica"/>
                <w:sz w:val="18"/>
                <w:szCs w:val="18"/>
                <w:lang w:val="en-US"/>
              </w:rPr>
              <w:t>(i) design, development and characterize drug-</w:t>
            </w:r>
            <w:r>
              <w:rPr>
                <w:rFonts w:ascii="Helvetica" w:hAnsi="Helvetica"/>
                <w:sz w:val="18"/>
                <w:szCs w:val="18"/>
                <w:lang w:val="en-US"/>
              </w:rPr>
              <w:t>loaded ISDF systems</w:t>
            </w:r>
            <w:r w:rsidR="00456BB9" w:rsidRPr="00456BB9">
              <w:rPr>
                <w:rFonts w:ascii="Helvetica" w:hAnsi="Helvetica"/>
                <w:sz w:val="18"/>
                <w:szCs w:val="18"/>
                <w:lang w:val="en-US"/>
              </w:rPr>
              <w:t>, (ii) develop analytical</w:t>
            </w:r>
            <w:r>
              <w:rPr>
                <w:rFonts w:ascii="Helvetica" w:hAnsi="Helvetica"/>
                <w:sz w:val="18"/>
                <w:szCs w:val="18"/>
                <w:lang w:val="en-US"/>
              </w:rPr>
              <w:t>/bio-analytical</w:t>
            </w:r>
            <w:r w:rsidR="00456BB9" w:rsidRPr="00456BB9">
              <w:rPr>
                <w:rFonts w:ascii="Helvetica" w:hAnsi="Helvetica"/>
                <w:sz w:val="18"/>
                <w:szCs w:val="18"/>
                <w:lang w:val="en-US"/>
              </w:rPr>
              <w:t xml:space="preserve"> techniques for polymer and drug analysis, (iii) investigate in vitro</w:t>
            </w:r>
            <w:r w:rsidR="00456BB9">
              <w:rPr>
                <w:rFonts w:ascii="Helvetica" w:hAnsi="Helvetica"/>
                <w:sz w:val="18"/>
                <w:szCs w:val="18"/>
                <w:lang w:val="en-US"/>
              </w:rPr>
              <w:t>/ex vivo</w:t>
            </w:r>
            <w:r w:rsidR="00456BB9" w:rsidRPr="00456BB9">
              <w:rPr>
                <w:rFonts w:ascii="Helvetica" w:hAnsi="Helvetica"/>
                <w:sz w:val="18"/>
                <w:szCs w:val="18"/>
                <w:lang w:val="en-US"/>
              </w:rPr>
              <w:t xml:space="preserve"> </w:t>
            </w:r>
            <w:r>
              <w:rPr>
                <w:rFonts w:ascii="Helvetica" w:hAnsi="Helvetica"/>
                <w:sz w:val="18"/>
                <w:szCs w:val="18"/>
                <w:lang w:val="en-US"/>
              </w:rPr>
              <w:t>performance</w:t>
            </w:r>
            <w:r w:rsidR="00456BB9" w:rsidRPr="00456BB9">
              <w:rPr>
                <w:rFonts w:ascii="Helvetica" w:hAnsi="Helvetica"/>
                <w:sz w:val="18"/>
                <w:szCs w:val="18"/>
                <w:lang w:val="en-US"/>
              </w:rPr>
              <w:t xml:space="preserve"> of</w:t>
            </w:r>
            <w:r>
              <w:rPr>
                <w:rFonts w:ascii="Helvetica" w:hAnsi="Helvetica"/>
                <w:sz w:val="18"/>
                <w:szCs w:val="18"/>
                <w:lang w:val="en-US"/>
              </w:rPr>
              <w:t xml:space="preserve"> ISDF</w:t>
            </w:r>
            <w:r w:rsidR="00456BB9" w:rsidRPr="00456BB9">
              <w:rPr>
                <w:rFonts w:ascii="Helvetica" w:hAnsi="Helvetica"/>
                <w:sz w:val="18"/>
                <w:szCs w:val="18"/>
                <w:lang w:val="en-US"/>
              </w:rPr>
              <w:t>, (iv) examine the biodegradation</w:t>
            </w:r>
            <w:r>
              <w:rPr>
                <w:rFonts w:ascii="Helvetica" w:hAnsi="Helvetica"/>
                <w:sz w:val="18"/>
                <w:szCs w:val="18"/>
                <w:lang w:val="en-US"/>
              </w:rPr>
              <w:t>/</w:t>
            </w:r>
            <w:r w:rsidR="00456BB9" w:rsidRPr="00456BB9">
              <w:rPr>
                <w:rFonts w:ascii="Helvetica" w:hAnsi="Helvetica"/>
                <w:sz w:val="18"/>
                <w:szCs w:val="18"/>
                <w:lang w:val="en-US"/>
              </w:rPr>
              <w:t xml:space="preserve">biocompatibility in cell-cultures, and (v) conduct preliminary in vivo examinations to determine the suitability of the delivery system for human application. </w:t>
            </w:r>
          </w:p>
          <w:p w14:paraId="12AED95A" w14:textId="58D4FA61" w:rsidR="009410C9" w:rsidRDefault="009410C9" w:rsidP="00456BB9">
            <w:pPr>
              <w:tabs>
                <w:tab w:val="left" w:pos="567"/>
                <w:tab w:val="left" w:pos="1134"/>
                <w:tab w:val="left" w:pos="1701"/>
                <w:tab w:val="left" w:pos="2268"/>
                <w:tab w:val="left" w:pos="2835"/>
                <w:tab w:val="left" w:pos="3402"/>
                <w:tab w:val="left" w:pos="3969"/>
                <w:tab w:val="left" w:pos="4535"/>
                <w:tab w:val="left" w:pos="5102"/>
                <w:tab w:val="left" w:pos="5669"/>
                <w:tab w:val="left" w:pos="6236"/>
              </w:tabs>
              <w:spacing w:after="80"/>
              <w:contextualSpacing/>
              <w:jc w:val="both"/>
              <w:rPr>
                <w:rFonts w:ascii="Helvetica" w:hAnsi="Helvetica"/>
                <w:sz w:val="18"/>
                <w:szCs w:val="18"/>
                <w:lang w:val="en-US"/>
              </w:rPr>
            </w:pPr>
          </w:p>
          <w:p w14:paraId="09A948E5" w14:textId="44B4EA8E" w:rsidR="0081105B" w:rsidRPr="00221943" w:rsidRDefault="0081105B" w:rsidP="00456BB9">
            <w:pPr>
              <w:tabs>
                <w:tab w:val="left" w:pos="567"/>
                <w:tab w:val="left" w:pos="1134"/>
                <w:tab w:val="left" w:pos="1701"/>
                <w:tab w:val="left" w:pos="2268"/>
                <w:tab w:val="left" w:pos="2835"/>
                <w:tab w:val="left" w:pos="3402"/>
                <w:tab w:val="left" w:pos="3969"/>
                <w:tab w:val="left" w:pos="4535"/>
                <w:tab w:val="left" w:pos="5102"/>
                <w:tab w:val="left" w:pos="5669"/>
                <w:tab w:val="left" w:pos="6236"/>
              </w:tabs>
              <w:spacing w:after="80"/>
              <w:contextualSpacing/>
              <w:jc w:val="both"/>
              <w:rPr>
                <w:rFonts w:ascii="Helvetica" w:hAnsi="Helvetica"/>
                <w:sz w:val="18"/>
                <w:szCs w:val="18"/>
              </w:rPr>
            </w:pPr>
            <w:r>
              <w:rPr>
                <w:rFonts w:ascii="Helvetica" w:hAnsi="Helvetica"/>
                <w:sz w:val="18"/>
                <w:szCs w:val="18"/>
                <w:lang w:val="en-US"/>
              </w:rPr>
              <w:t xml:space="preserve">Prof </w:t>
            </w:r>
            <w:r w:rsidR="00221943">
              <w:rPr>
                <w:rFonts w:ascii="Helvetica" w:hAnsi="Helvetica"/>
                <w:sz w:val="18"/>
                <w:szCs w:val="18"/>
                <w:lang w:val="en-US"/>
              </w:rPr>
              <w:t xml:space="preserve">Raj </w:t>
            </w:r>
            <w:r>
              <w:rPr>
                <w:rFonts w:ascii="Helvetica" w:hAnsi="Helvetica"/>
                <w:sz w:val="18"/>
                <w:szCs w:val="18"/>
                <w:lang w:val="en-US"/>
              </w:rPr>
              <w:t xml:space="preserve">Thakur has long-standing experience in the design and development of novel </w:t>
            </w:r>
            <w:r w:rsidR="00221943">
              <w:rPr>
                <w:rFonts w:ascii="Helvetica" w:hAnsi="Helvetica"/>
                <w:sz w:val="18"/>
                <w:szCs w:val="18"/>
                <w:lang w:val="en-US"/>
              </w:rPr>
              <w:t xml:space="preserve">long-acting </w:t>
            </w:r>
            <w:r>
              <w:rPr>
                <w:rFonts w:ascii="Helvetica" w:hAnsi="Helvetica"/>
                <w:sz w:val="18"/>
                <w:szCs w:val="18"/>
                <w:lang w:val="en-US"/>
              </w:rPr>
              <w:t xml:space="preserve">drug delivery systems, some of </w:t>
            </w:r>
            <w:r w:rsidR="00221943">
              <w:rPr>
                <w:rFonts w:ascii="Helvetica" w:hAnsi="Helvetica"/>
                <w:sz w:val="18"/>
                <w:szCs w:val="18"/>
                <w:lang w:val="en-US"/>
              </w:rPr>
              <w:t>these systems</w:t>
            </w:r>
            <w:r>
              <w:rPr>
                <w:rFonts w:ascii="Helvetica" w:hAnsi="Helvetica"/>
                <w:sz w:val="18"/>
                <w:szCs w:val="18"/>
                <w:lang w:val="en-US"/>
              </w:rPr>
              <w:t xml:space="preserve"> </w:t>
            </w:r>
            <w:r w:rsidR="00221943">
              <w:rPr>
                <w:rFonts w:ascii="Helvetica" w:hAnsi="Helvetica"/>
                <w:sz w:val="18"/>
                <w:szCs w:val="18"/>
                <w:lang w:val="en-US"/>
              </w:rPr>
              <w:t>have now been commercially exploited for treating chronic ocular conditions. Dr Wafa Al-Jamal</w:t>
            </w:r>
            <w:r>
              <w:rPr>
                <w:rFonts w:ascii="Helvetica" w:hAnsi="Helvetica"/>
                <w:sz w:val="18"/>
                <w:szCs w:val="18"/>
                <w:lang w:val="en-US"/>
              </w:rPr>
              <w:t xml:space="preserve"> </w:t>
            </w:r>
            <w:r w:rsidR="00221943">
              <w:rPr>
                <w:rFonts w:ascii="Helvetica" w:hAnsi="Helvetica"/>
                <w:sz w:val="18"/>
                <w:szCs w:val="18"/>
                <w:lang w:val="en-US"/>
              </w:rPr>
              <w:t xml:space="preserve">has long-standing experience in </w:t>
            </w:r>
            <w:r w:rsidR="00221943" w:rsidRPr="00221943">
              <w:rPr>
                <w:rFonts w:ascii="Helvetica" w:hAnsi="Helvetica"/>
                <w:sz w:val="18"/>
                <w:szCs w:val="18"/>
              </w:rPr>
              <w:t xml:space="preserve">delivering a broad range of therapeutic </w:t>
            </w:r>
            <w:r w:rsidR="00F25244" w:rsidRPr="00221943">
              <w:rPr>
                <w:rFonts w:ascii="Helvetica" w:hAnsi="Helvetica"/>
                <w:sz w:val="18"/>
                <w:szCs w:val="18"/>
              </w:rPr>
              <w:t>agents and</w:t>
            </w:r>
            <w:r w:rsidR="00221943" w:rsidRPr="00221943">
              <w:rPr>
                <w:rFonts w:ascii="Helvetica" w:hAnsi="Helvetica"/>
                <w:sz w:val="18"/>
                <w:szCs w:val="18"/>
              </w:rPr>
              <w:t xml:space="preserve"> fabricating multifunctional nanoparticles to target cancer and other diseases</w:t>
            </w:r>
            <w:r w:rsidR="00221943">
              <w:rPr>
                <w:rFonts w:ascii="Helvetica" w:hAnsi="Helvetica"/>
                <w:sz w:val="18"/>
                <w:szCs w:val="18"/>
              </w:rPr>
              <w:t xml:space="preserve">. </w:t>
            </w:r>
            <w:r w:rsidR="00221943">
              <w:rPr>
                <w:rFonts w:ascii="Helvetica" w:hAnsi="Helvetica"/>
                <w:sz w:val="18"/>
                <w:szCs w:val="18"/>
                <w:lang w:val="en-US"/>
              </w:rPr>
              <w:t xml:space="preserve">  </w:t>
            </w:r>
          </w:p>
          <w:p w14:paraId="3C8B7D50" w14:textId="77777777" w:rsidR="0081105B" w:rsidRDefault="0081105B" w:rsidP="00456BB9">
            <w:pPr>
              <w:tabs>
                <w:tab w:val="left" w:pos="567"/>
                <w:tab w:val="left" w:pos="1134"/>
                <w:tab w:val="left" w:pos="1701"/>
                <w:tab w:val="left" w:pos="2268"/>
                <w:tab w:val="left" w:pos="2835"/>
                <w:tab w:val="left" w:pos="3402"/>
                <w:tab w:val="left" w:pos="3969"/>
                <w:tab w:val="left" w:pos="4535"/>
                <w:tab w:val="left" w:pos="5102"/>
                <w:tab w:val="left" w:pos="5669"/>
                <w:tab w:val="left" w:pos="6236"/>
              </w:tabs>
              <w:spacing w:after="80"/>
              <w:contextualSpacing/>
              <w:jc w:val="both"/>
              <w:rPr>
                <w:rFonts w:ascii="Helvetica" w:hAnsi="Helvetica"/>
                <w:sz w:val="18"/>
                <w:szCs w:val="18"/>
                <w:lang w:val="en-US"/>
              </w:rPr>
            </w:pPr>
          </w:p>
          <w:p w14:paraId="38570977" w14:textId="6E43593A" w:rsidR="00456BB9" w:rsidRPr="00524C40" w:rsidRDefault="00456BB9" w:rsidP="00456BB9">
            <w:pPr>
              <w:tabs>
                <w:tab w:val="left" w:pos="567"/>
                <w:tab w:val="left" w:pos="1134"/>
                <w:tab w:val="left" w:pos="1701"/>
                <w:tab w:val="left" w:pos="2268"/>
                <w:tab w:val="left" w:pos="2835"/>
                <w:tab w:val="left" w:pos="3402"/>
                <w:tab w:val="left" w:pos="3969"/>
                <w:tab w:val="left" w:pos="4535"/>
                <w:tab w:val="left" w:pos="5102"/>
                <w:tab w:val="left" w:pos="5669"/>
                <w:tab w:val="left" w:pos="6236"/>
              </w:tabs>
              <w:spacing w:after="80"/>
              <w:contextualSpacing/>
              <w:jc w:val="both"/>
              <w:rPr>
                <w:rFonts w:ascii="Helvetica" w:hAnsi="Helvetica"/>
                <w:sz w:val="18"/>
                <w:szCs w:val="18"/>
                <w:lang w:val="en-US"/>
              </w:rPr>
            </w:pPr>
            <w:r w:rsidRPr="00456BB9">
              <w:rPr>
                <w:rFonts w:ascii="Helvetica" w:hAnsi="Helvetica"/>
                <w:sz w:val="18"/>
                <w:szCs w:val="18"/>
                <w:lang w:val="en-US"/>
              </w:rPr>
              <w:t>The student will receive sufficient training in</w:t>
            </w:r>
            <w:r w:rsidR="00221943">
              <w:rPr>
                <w:rFonts w:ascii="Helvetica" w:hAnsi="Helvetica"/>
                <w:sz w:val="18"/>
                <w:szCs w:val="18"/>
                <w:lang w:val="en-US"/>
              </w:rPr>
              <w:t xml:space="preserve"> various areas that fall within the remit of this project such as </w:t>
            </w:r>
            <w:r w:rsidRPr="00456BB9">
              <w:rPr>
                <w:rFonts w:ascii="Helvetica" w:hAnsi="Helvetica"/>
                <w:sz w:val="18"/>
                <w:szCs w:val="18"/>
                <w:lang w:val="en-US"/>
              </w:rPr>
              <w:t>experimental design</w:t>
            </w:r>
            <w:r w:rsidR="00221943">
              <w:rPr>
                <w:rFonts w:ascii="Helvetica" w:hAnsi="Helvetica"/>
                <w:sz w:val="18"/>
                <w:szCs w:val="18"/>
                <w:lang w:val="en-US"/>
              </w:rPr>
              <w:t>,</w:t>
            </w:r>
            <w:r w:rsidRPr="00456BB9">
              <w:rPr>
                <w:rFonts w:ascii="Helvetica" w:hAnsi="Helvetica"/>
                <w:sz w:val="18"/>
                <w:szCs w:val="18"/>
                <w:lang w:val="en-US"/>
              </w:rPr>
              <w:t xml:space="preserve"> </w:t>
            </w:r>
            <w:r w:rsidR="00221943">
              <w:rPr>
                <w:rFonts w:ascii="Helvetica" w:hAnsi="Helvetica"/>
                <w:sz w:val="18"/>
                <w:szCs w:val="18"/>
                <w:lang w:val="en-US"/>
              </w:rPr>
              <w:t>analytical/bioanalytical</w:t>
            </w:r>
            <w:r w:rsidRPr="00456BB9">
              <w:rPr>
                <w:rFonts w:ascii="Helvetica" w:hAnsi="Helvetica"/>
                <w:sz w:val="18"/>
                <w:szCs w:val="18"/>
                <w:lang w:val="en-US"/>
              </w:rPr>
              <w:t xml:space="preserve"> techniques</w:t>
            </w:r>
            <w:r w:rsidR="00221943">
              <w:rPr>
                <w:rFonts w:ascii="Helvetica" w:hAnsi="Helvetica"/>
                <w:sz w:val="18"/>
                <w:szCs w:val="18"/>
                <w:lang w:val="en-US"/>
              </w:rPr>
              <w:t>, characterization of ISDF and ex vivo/in vivo evaluation</w:t>
            </w:r>
            <w:r w:rsidRPr="00456BB9">
              <w:rPr>
                <w:rFonts w:ascii="Helvetica" w:hAnsi="Helvetica"/>
                <w:sz w:val="18"/>
                <w:szCs w:val="18"/>
                <w:lang w:val="en-US"/>
              </w:rPr>
              <w:t>.</w:t>
            </w:r>
            <w:r>
              <w:rPr>
                <w:rFonts w:ascii="Helvetica" w:hAnsi="Helvetica"/>
                <w:sz w:val="18"/>
                <w:szCs w:val="18"/>
                <w:lang w:val="en-US"/>
              </w:rPr>
              <w:t xml:space="preserve"> </w:t>
            </w:r>
            <w:r w:rsidRPr="00456BB9">
              <w:rPr>
                <w:rFonts w:ascii="Helvetica" w:hAnsi="Helvetica"/>
                <w:sz w:val="18"/>
                <w:szCs w:val="18"/>
                <w:lang w:val="en-US"/>
              </w:rPr>
              <w:t>This project will also provide ample opportunity for the PhD student to gain exceptional knowledge in various aspects of pharmaceutical product development</w:t>
            </w:r>
            <w:r w:rsidR="00221943">
              <w:rPr>
                <w:rFonts w:ascii="Helvetica" w:hAnsi="Helvetica"/>
                <w:sz w:val="18"/>
                <w:szCs w:val="18"/>
                <w:lang w:val="en-US"/>
              </w:rPr>
              <w:t>, long-acting delivery systems</w:t>
            </w:r>
            <w:r w:rsidRPr="00456BB9">
              <w:rPr>
                <w:rFonts w:ascii="Helvetica" w:hAnsi="Helvetica"/>
                <w:sz w:val="18"/>
                <w:szCs w:val="18"/>
                <w:lang w:val="en-US"/>
              </w:rPr>
              <w:t xml:space="preserve"> and </w:t>
            </w:r>
            <w:r w:rsidR="00221943">
              <w:rPr>
                <w:rFonts w:ascii="Helvetica" w:hAnsi="Helvetica"/>
                <w:sz w:val="18"/>
                <w:szCs w:val="18"/>
                <w:lang w:val="en-US"/>
              </w:rPr>
              <w:t>cancer</w:t>
            </w:r>
            <w:r w:rsidRPr="00456BB9">
              <w:rPr>
                <w:rFonts w:ascii="Helvetica" w:hAnsi="Helvetica"/>
                <w:sz w:val="18"/>
                <w:szCs w:val="18"/>
                <w:lang w:val="en-US"/>
              </w:rPr>
              <w:t xml:space="preserve"> </w:t>
            </w:r>
            <w:r w:rsidR="00221943">
              <w:rPr>
                <w:rFonts w:ascii="Helvetica" w:hAnsi="Helvetica"/>
                <w:sz w:val="18"/>
                <w:szCs w:val="18"/>
                <w:lang w:val="en-US"/>
              </w:rPr>
              <w:t>treatment</w:t>
            </w:r>
            <w:r w:rsidRPr="00456BB9">
              <w:rPr>
                <w:rFonts w:ascii="Helvetica" w:hAnsi="Helvetica"/>
                <w:sz w:val="18"/>
                <w:szCs w:val="18"/>
                <w:lang w:val="en-US"/>
              </w:rPr>
              <w:t xml:space="preserve">. It will also provide opportunity for the PhD student to </w:t>
            </w:r>
            <w:r>
              <w:rPr>
                <w:rFonts w:ascii="Helvetica" w:hAnsi="Helvetica"/>
                <w:sz w:val="18"/>
                <w:szCs w:val="18"/>
                <w:lang w:val="en-US"/>
              </w:rPr>
              <w:t xml:space="preserve">work along experienced team members from both industry and academia and </w:t>
            </w:r>
            <w:r w:rsidRPr="00456BB9">
              <w:rPr>
                <w:rFonts w:ascii="Helvetica" w:hAnsi="Helvetica"/>
                <w:sz w:val="18"/>
                <w:szCs w:val="18"/>
                <w:lang w:val="en-US"/>
              </w:rPr>
              <w:t xml:space="preserve">present their research at national and international conferences.    </w:t>
            </w:r>
          </w:p>
          <w:p w14:paraId="69C31F4A" w14:textId="0FB0C8B2" w:rsidR="007F3CD9" w:rsidRPr="002A0A29" w:rsidRDefault="00BB66B8" w:rsidP="002A0A29">
            <w:pPr>
              <w:tabs>
                <w:tab w:val="left" w:pos="567"/>
                <w:tab w:val="left" w:pos="1134"/>
                <w:tab w:val="left" w:pos="1701"/>
                <w:tab w:val="left" w:pos="2268"/>
                <w:tab w:val="left" w:pos="2835"/>
                <w:tab w:val="left" w:pos="3402"/>
                <w:tab w:val="left" w:pos="3969"/>
                <w:tab w:val="left" w:pos="4535"/>
                <w:tab w:val="left" w:pos="5102"/>
                <w:tab w:val="left" w:pos="5669"/>
                <w:tab w:val="left" w:pos="6236"/>
              </w:tabs>
              <w:jc w:val="both"/>
              <w:rPr>
                <w:rFonts w:ascii="Helvetica" w:eastAsia="MS Mincho" w:hAnsi="Helvetica" w:cs="Times"/>
                <w:sz w:val="20"/>
                <w:szCs w:val="20"/>
              </w:rPr>
            </w:pPr>
            <w:r w:rsidRPr="002A0A29">
              <w:rPr>
                <w:rFonts w:ascii="Helvetica" w:hAnsi="Helvetica"/>
                <w:sz w:val="20"/>
                <w:szCs w:val="20"/>
              </w:rPr>
              <w:lastRenderedPageBreak/>
              <w:t xml:space="preserve"> </w:t>
            </w:r>
          </w:p>
        </w:tc>
      </w:tr>
      <w:tr w:rsidR="00695F66" w:rsidRPr="00C10062" w14:paraId="4E56534D" w14:textId="77777777" w:rsidTr="000F380D">
        <w:trPr>
          <w:trHeight w:val="625"/>
        </w:trPr>
        <w:tc>
          <w:tcPr>
            <w:tcW w:w="3304" w:type="dxa"/>
            <w:shd w:val="clear" w:color="auto" w:fill="DEEAF6" w:themeFill="accent1" w:themeFillTint="33"/>
          </w:tcPr>
          <w:p w14:paraId="3F9B8C4D" w14:textId="77777777" w:rsidR="00695F66" w:rsidRDefault="000F6B4D">
            <w:pPr>
              <w:rPr>
                <w:b/>
              </w:rPr>
            </w:pPr>
            <w:r>
              <w:rPr>
                <w:b/>
              </w:rPr>
              <w:lastRenderedPageBreak/>
              <w:t>*Supervisor(s)</w:t>
            </w:r>
          </w:p>
        </w:tc>
        <w:tc>
          <w:tcPr>
            <w:tcW w:w="5846" w:type="dxa"/>
          </w:tcPr>
          <w:p w14:paraId="4D62474E" w14:textId="13D2AFD7" w:rsidR="00695F66" w:rsidRPr="00C10062" w:rsidRDefault="00456BB9">
            <w:pPr>
              <w:rPr>
                <w:lang w:val="nl-NL"/>
              </w:rPr>
            </w:pPr>
            <w:r w:rsidRPr="00C10062">
              <w:rPr>
                <w:lang w:val="nl-NL"/>
              </w:rPr>
              <w:t>Prof</w:t>
            </w:r>
            <w:r w:rsidR="00BB66B8" w:rsidRPr="00C10062">
              <w:rPr>
                <w:lang w:val="nl-NL"/>
              </w:rPr>
              <w:t xml:space="preserve"> </w:t>
            </w:r>
            <w:r w:rsidRPr="00C10062">
              <w:rPr>
                <w:lang w:val="nl-NL"/>
              </w:rPr>
              <w:t xml:space="preserve">Raj </w:t>
            </w:r>
            <w:r w:rsidR="00BB66B8" w:rsidRPr="00C10062">
              <w:rPr>
                <w:lang w:val="nl-NL"/>
              </w:rPr>
              <w:t>Thakur</w:t>
            </w:r>
            <w:r w:rsidR="00221943" w:rsidRPr="00C10062">
              <w:rPr>
                <w:lang w:val="nl-NL"/>
              </w:rPr>
              <w:t xml:space="preserve"> &amp; Dr Wafa Al-Jamal</w:t>
            </w:r>
          </w:p>
        </w:tc>
      </w:tr>
      <w:tr w:rsidR="007F3CD9" w:rsidRPr="00C10062" w14:paraId="4E0B3869" w14:textId="77777777" w:rsidTr="007F3CD9">
        <w:trPr>
          <w:trHeight w:val="630"/>
        </w:trPr>
        <w:tc>
          <w:tcPr>
            <w:tcW w:w="3304" w:type="dxa"/>
            <w:shd w:val="clear" w:color="auto" w:fill="DEEAF6" w:themeFill="accent1" w:themeFillTint="33"/>
          </w:tcPr>
          <w:p w14:paraId="60C69440" w14:textId="77777777" w:rsidR="007F3CD9" w:rsidRPr="007F3CD9" w:rsidRDefault="00695F66">
            <w:pPr>
              <w:rPr>
                <w:b/>
              </w:rPr>
            </w:pPr>
            <w:r>
              <w:rPr>
                <w:b/>
              </w:rPr>
              <w:t>*</w:t>
            </w:r>
            <w:r w:rsidR="001B792D">
              <w:rPr>
                <w:b/>
              </w:rPr>
              <w:t xml:space="preserve">Eligibility / residence </w:t>
            </w:r>
            <w:r w:rsidR="007F3CD9">
              <w:rPr>
                <w:b/>
              </w:rPr>
              <w:t>Status</w:t>
            </w:r>
          </w:p>
        </w:tc>
        <w:tc>
          <w:tcPr>
            <w:tcW w:w="5846" w:type="dxa"/>
          </w:tcPr>
          <w:p w14:paraId="3D324EF1" w14:textId="0710031B" w:rsidR="007F3CD9" w:rsidRPr="00C10062" w:rsidRDefault="007F3CD9" w:rsidP="00BB66B8">
            <w:pPr>
              <w:rPr>
                <w:lang w:val="fr-FR"/>
              </w:rPr>
            </w:pPr>
            <w:r w:rsidRPr="00C10062">
              <w:rPr>
                <w:lang w:val="fr-FR"/>
              </w:rPr>
              <w:t xml:space="preserve">UK/EU </w:t>
            </w:r>
            <w:r w:rsidR="00BB66B8" w:rsidRPr="00C10062">
              <w:rPr>
                <w:lang w:val="fr-FR"/>
              </w:rPr>
              <w:t xml:space="preserve">or non-EU </w:t>
            </w:r>
          </w:p>
        </w:tc>
      </w:tr>
      <w:tr w:rsidR="007F3CD9" w14:paraId="0ED025C8" w14:textId="77777777" w:rsidTr="007F3CD9">
        <w:trPr>
          <w:trHeight w:val="630"/>
        </w:trPr>
        <w:tc>
          <w:tcPr>
            <w:tcW w:w="3304" w:type="dxa"/>
            <w:shd w:val="clear" w:color="auto" w:fill="DEEAF6" w:themeFill="accent1" w:themeFillTint="33"/>
          </w:tcPr>
          <w:p w14:paraId="1F7FEB37" w14:textId="77777777" w:rsidR="007F3CD9" w:rsidRDefault="00695F66">
            <w:pPr>
              <w:rPr>
                <w:b/>
              </w:rPr>
            </w:pPr>
            <w:r>
              <w:rPr>
                <w:b/>
              </w:rPr>
              <w:t>Country</w:t>
            </w:r>
          </w:p>
        </w:tc>
        <w:tc>
          <w:tcPr>
            <w:tcW w:w="5846" w:type="dxa"/>
          </w:tcPr>
          <w:p w14:paraId="096F5302" w14:textId="77777777" w:rsidR="007F3CD9" w:rsidRDefault="007C3A10">
            <w:r>
              <w:t>Northern Ireland</w:t>
            </w:r>
          </w:p>
        </w:tc>
      </w:tr>
      <w:tr w:rsidR="007F3CD9" w14:paraId="5A9A4024" w14:textId="77777777" w:rsidTr="007F3CD9">
        <w:trPr>
          <w:trHeight w:val="630"/>
        </w:trPr>
        <w:tc>
          <w:tcPr>
            <w:tcW w:w="3304" w:type="dxa"/>
            <w:shd w:val="clear" w:color="auto" w:fill="DEEAF6" w:themeFill="accent1" w:themeFillTint="33"/>
          </w:tcPr>
          <w:p w14:paraId="62462A05" w14:textId="77777777" w:rsidR="007F3CD9" w:rsidRDefault="00695F66">
            <w:pPr>
              <w:rPr>
                <w:b/>
              </w:rPr>
            </w:pPr>
            <w:r>
              <w:rPr>
                <w:b/>
              </w:rPr>
              <w:t>*</w:t>
            </w:r>
            <w:r w:rsidR="007F3CD9">
              <w:rPr>
                <w:b/>
              </w:rPr>
              <w:t xml:space="preserve">Start date and duration </w:t>
            </w:r>
          </w:p>
        </w:tc>
        <w:tc>
          <w:tcPr>
            <w:tcW w:w="5846" w:type="dxa"/>
          </w:tcPr>
          <w:p w14:paraId="38C6DCC8" w14:textId="403572D4" w:rsidR="007F3CD9" w:rsidRDefault="00695F66" w:rsidP="007F3CD9">
            <w:r>
              <w:t>1 October 20</w:t>
            </w:r>
            <w:r w:rsidR="005147CD">
              <w:t>2</w:t>
            </w:r>
            <w:r w:rsidR="00456BB9">
              <w:t>2</w:t>
            </w:r>
            <w:r w:rsidR="008C7EE0">
              <w:t xml:space="preserve">, 3 yrs </w:t>
            </w:r>
          </w:p>
          <w:p w14:paraId="4010ABC3" w14:textId="12A5759D" w:rsidR="007F3CD9" w:rsidRDefault="007F3CD9" w:rsidP="003A76E9"/>
        </w:tc>
      </w:tr>
      <w:tr w:rsidR="007F3CD9" w14:paraId="28F29B22" w14:textId="77777777" w:rsidTr="007F3CD9">
        <w:trPr>
          <w:trHeight w:val="444"/>
        </w:trPr>
        <w:tc>
          <w:tcPr>
            <w:tcW w:w="3304" w:type="dxa"/>
            <w:shd w:val="clear" w:color="auto" w:fill="DEEAF6" w:themeFill="accent1" w:themeFillTint="33"/>
          </w:tcPr>
          <w:p w14:paraId="6A9B78EC" w14:textId="77777777" w:rsidR="007F3CD9" w:rsidRPr="007F3CD9" w:rsidRDefault="00695F66">
            <w:pPr>
              <w:rPr>
                <w:b/>
              </w:rPr>
            </w:pPr>
            <w:r>
              <w:rPr>
                <w:b/>
              </w:rPr>
              <w:t>*</w:t>
            </w:r>
            <w:r w:rsidR="007F3CD9" w:rsidRPr="007F3CD9">
              <w:rPr>
                <w:b/>
              </w:rPr>
              <w:t>Faculty</w:t>
            </w:r>
          </w:p>
        </w:tc>
        <w:tc>
          <w:tcPr>
            <w:tcW w:w="5846" w:type="dxa"/>
          </w:tcPr>
          <w:p w14:paraId="697AD963" w14:textId="77777777" w:rsidR="007F3CD9" w:rsidRDefault="007C3A10">
            <w:r>
              <w:t>MHLS</w:t>
            </w:r>
          </w:p>
        </w:tc>
      </w:tr>
      <w:tr w:rsidR="007F3CD9" w14:paraId="0F4A2020" w14:textId="77777777" w:rsidTr="007F3CD9">
        <w:trPr>
          <w:trHeight w:val="470"/>
        </w:trPr>
        <w:tc>
          <w:tcPr>
            <w:tcW w:w="3304" w:type="dxa"/>
            <w:shd w:val="clear" w:color="auto" w:fill="DEEAF6" w:themeFill="accent1" w:themeFillTint="33"/>
          </w:tcPr>
          <w:p w14:paraId="7E363DF7" w14:textId="77777777" w:rsidR="007F3CD9" w:rsidRPr="007F3CD9" w:rsidRDefault="00695F66">
            <w:pPr>
              <w:rPr>
                <w:b/>
              </w:rPr>
            </w:pPr>
            <w:r>
              <w:rPr>
                <w:b/>
              </w:rPr>
              <w:t>*</w:t>
            </w:r>
            <w:r w:rsidR="007F3CD9" w:rsidRPr="007F3CD9">
              <w:rPr>
                <w:b/>
              </w:rPr>
              <w:t>Research centre / School</w:t>
            </w:r>
          </w:p>
        </w:tc>
        <w:tc>
          <w:tcPr>
            <w:tcW w:w="5846" w:type="dxa"/>
          </w:tcPr>
          <w:p w14:paraId="01F42C0A" w14:textId="77777777" w:rsidR="007F3CD9" w:rsidRDefault="007C3A10">
            <w:r>
              <w:t>Pharmacy</w:t>
            </w:r>
          </w:p>
        </w:tc>
      </w:tr>
      <w:tr w:rsidR="001B792D" w14:paraId="2B55D6E4" w14:textId="77777777" w:rsidTr="007F3CD9">
        <w:trPr>
          <w:trHeight w:val="470"/>
        </w:trPr>
        <w:tc>
          <w:tcPr>
            <w:tcW w:w="3304" w:type="dxa"/>
            <w:shd w:val="clear" w:color="auto" w:fill="DEEAF6" w:themeFill="accent1" w:themeFillTint="33"/>
          </w:tcPr>
          <w:p w14:paraId="29BF30B7" w14:textId="77777777" w:rsidR="001B792D" w:rsidRDefault="001B792D">
            <w:pPr>
              <w:rPr>
                <w:b/>
              </w:rPr>
            </w:pPr>
            <w:r>
              <w:rPr>
                <w:b/>
              </w:rPr>
              <w:t>Subject area</w:t>
            </w:r>
          </w:p>
        </w:tc>
        <w:tc>
          <w:tcPr>
            <w:tcW w:w="5846" w:type="dxa"/>
          </w:tcPr>
          <w:p w14:paraId="26BC92BB" w14:textId="6FD674A3" w:rsidR="001B792D" w:rsidRDefault="00BB66B8" w:rsidP="00BB66B8">
            <w:r w:rsidRPr="007C3A10">
              <w:rPr>
                <w:rFonts w:cs="Arial"/>
              </w:rPr>
              <w:t xml:space="preserve">Pharmacy, Pharmaceutical Sciences, </w:t>
            </w:r>
            <w:r>
              <w:rPr>
                <w:rFonts w:cs="Arial"/>
              </w:rPr>
              <w:t>or Polymer science</w:t>
            </w:r>
            <w:r w:rsidR="008C7EE0">
              <w:rPr>
                <w:rFonts w:cs="Arial"/>
              </w:rPr>
              <w:t xml:space="preserve">, drug delivery </w:t>
            </w:r>
          </w:p>
        </w:tc>
      </w:tr>
      <w:tr w:rsidR="007F3CD9" w14:paraId="37F2D25C" w14:textId="77777777" w:rsidTr="007F3CD9">
        <w:trPr>
          <w:trHeight w:val="444"/>
        </w:trPr>
        <w:tc>
          <w:tcPr>
            <w:tcW w:w="3304" w:type="dxa"/>
            <w:shd w:val="clear" w:color="auto" w:fill="DEEAF6" w:themeFill="accent1" w:themeFillTint="33"/>
          </w:tcPr>
          <w:p w14:paraId="1721C332" w14:textId="77777777" w:rsidR="007F3CD9" w:rsidRDefault="001B792D">
            <w:pPr>
              <w:rPr>
                <w:b/>
              </w:rPr>
            </w:pPr>
            <w:r>
              <w:rPr>
                <w:b/>
              </w:rPr>
              <w:t>Candidate requirements / K</w:t>
            </w:r>
            <w:r w:rsidR="00695F66">
              <w:rPr>
                <w:b/>
              </w:rPr>
              <w:t xml:space="preserve">ey skills required for the post </w:t>
            </w:r>
          </w:p>
          <w:p w14:paraId="054A0AE4" w14:textId="77777777" w:rsidR="00695F66" w:rsidRPr="007F3CD9" w:rsidRDefault="00695F66">
            <w:pPr>
              <w:rPr>
                <w:b/>
              </w:rPr>
            </w:pPr>
          </w:p>
        </w:tc>
        <w:tc>
          <w:tcPr>
            <w:tcW w:w="5846" w:type="dxa"/>
          </w:tcPr>
          <w:p w14:paraId="04908960" w14:textId="4C0E3662" w:rsidR="007F3CD9" w:rsidRPr="007C3A10" w:rsidRDefault="007C3A10" w:rsidP="00BB66B8">
            <w:r w:rsidRPr="007C3A10">
              <w:rPr>
                <w:rFonts w:cs="Arial"/>
              </w:rPr>
              <w:t xml:space="preserve">Applicants should have a 1st or 2.1 honours degree (or equivalent) in a relevant subject. Relevant subjects include Pharmacy, Pharmaceutical Sciences, </w:t>
            </w:r>
            <w:r w:rsidR="00BB66B8">
              <w:rPr>
                <w:rFonts w:cs="Arial"/>
              </w:rPr>
              <w:t xml:space="preserve">polymer science, </w:t>
            </w:r>
            <w:r w:rsidR="002A0A29">
              <w:rPr>
                <w:rFonts w:cs="Arial"/>
              </w:rPr>
              <w:t xml:space="preserve">chemical engineering </w:t>
            </w:r>
            <w:r w:rsidRPr="007C3A10">
              <w:rPr>
                <w:rFonts w:cs="Arial"/>
              </w:rPr>
              <w:t>or a closely related discipline. Students who have a 2.2 honours degree and a Master’s degree may also be considered, but the School reserves the right to shortlist for interview only those applicants who have demonstrated high academic attainment to date</w:t>
            </w:r>
          </w:p>
        </w:tc>
      </w:tr>
      <w:tr w:rsidR="007F3CD9" w14:paraId="20B23C1A" w14:textId="77777777" w:rsidTr="007F3CD9">
        <w:trPr>
          <w:trHeight w:val="444"/>
        </w:trPr>
        <w:tc>
          <w:tcPr>
            <w:tcW w:w="3304" w:type="dxa"/>
            <w:shd w:val="clear" w:color="auto" w:fill="DEEAF6" w:themeFill="accent1" w:themeFillTint="33"/>
          </w:tcPr>
          <w:p w14:paraId="797CECE2" w14:textId="77777777" w:rsidR="007F3CD9" w:rsidRDefault="00695F66">
            <w:pPr>
              <w:rPr>
                <w:b/>
              </w:rPr>
            </w:pPr>
            <w:r>
              <w:rPr>
                <w:b/>
              </w:rPr>
              <w:t>*</w:t>
            </w:r>
            <w:r w:rsidR="007F3CD9">
              <w:rPr>
                <w:b/>
              </w:rPr>
              <w:t>Deadline for applications</w:t>
            </w:r>
          </w:p>
        </w:tc>
        <w:tc>
          <w:tcPr>
            <w:tcW w:w="5846" w:type="dxa"/>
          </w:tcPr>
          <w:p w14:paraId="489895A8" w14:textId="7AD58A83" w:rsidR="007F3CD9" w:rsidRDefault="008C7EE0">
            <w:r>
              <w:t xml:space="preserve">Open deadline </w:t>
            </w:r>
          </w:p>
        </w:tc>
      </w:tr>
      <w:tr w:rsidR="007F3CD9" w14:paraId="7A487D07" w14:textId="77777777" w:rsidTr="007F3CD9">
        <w:trPr>
          <w:trHeight w:val="444"/>
        </w:trPr>
        <w:tc>
          <w:tcPr>
            <w:tcW w:w="3304" w:type="dxa"/>
            <w:shd w:val="clear" w:color="auto" w:fill="DEEAF6" w:themeFill="accent1" w:themeFillTint="33"/>
          </w:tcPr>
          <w:p w14:paraId="70B884C3" w14:textId="77777777" w:rsidR="007F3CD9" w:rsidRDefault="00695F66">
            <w:pPr>
              <w:rPr>
                <w:b/>
              </w:rPr>
            </w:pPr>
            <w:r>
              <w:rPr>
                <w:b/>
              </w:rPr>
              <w:t>*</w:t>
            </w:r>
            <w:r w:rsidR="007F3CD9">
              <w:rPr>
                <w:b/>
              </w:rPr>
              <w:t>How to apply / contacts</w:t>
            </w:r>
          </w:p>
        </w:tc>
        <w:tc>
          <w:tcPr>
            <w:tcW w:w="5846" w:type="dxa"/>
          </w:tcPr>
          <w:p w14:paraId="71CA2C71" w14:textId="72EBCAA2" w:rsidR="007F3CD9" w:rsidRDefault="007F3CD9">
            <w:r w:rsidRPr="007F3CD9">
              <w:t>Postgraduate Research applicants</w:t>
            </w:r>
            <w:r w:rsidR="007C3A10">
              <w:t xml:space="preserve"> for</w:t>
            </w:r>
            <w:r w:rsidRPr="007F3CD9">
              <w:t xml:space="preserve"> </w:t>
            </w:r>
            <w:r w:rsidR="009410C9">
              <w:t xml:space="preserve">Pharmacy </w:t>
            </w:r>
            <w:r w:rsidR="009410C9" w:rsidRPr="007F3CD9">
              <w:t>who</w:t>
            </w:r>
            <w:r w:rsidRPr="007F3CD9">
              <w:t xml:space="preserve"> are interested in applying for a fully funded </w:t>
            </w:r>
            <w:r w:rsidR="007C3A10">
              <w:t>DFE</w:t>
            </w:r>
            <w:r w:rsidRPr="007F3CD9">
              <w:t xml:space="preserve"> studentship must have applied to Queen’s, via the Direct Applications Portal, and submitted all required supporting documents by the closing date, which will be announced later in the Academic year.</w:t>
            </w:r>
          </w:p>
          <w:p w14:paraId="7417D1C6" w14:textId="77777777" w:rsidR="007F3CD9" w:rsidRDefault="007F3CD9"/>
          <w:p w14:paraId="50D79A55" w14:textId="77777777" w:rsidR="007F3CD9" w:rsidRDefault="00C10062">
            <w:hyperlink r:id="rId5" w:history="1">
              <w:r w:rsidR="007F3CD9" w:rsidRPr="00920649">
                <w:rPr>
                  <w:rStyle w:val="Hyperlink"/>
                </w:rPr>
                <w:t>https://dap.qub.ac.uk/portal/user/u_login.php</w:t>
              </w:r>
            </w:hyperlink>
            <w:r w:rsidR="007F3CD9">
              <w:t xml:space="preserve"> </w:t>
            </w:r>
            <w:r w:rsidR="007F3CD9">
              <w:br/>
            </w:r>
          </w:p>
        </w:tc>
      </w:tr>
      <w:tr w:rsidR="007F3CD9" w14:paraId="768977FD" w14:textId="77777777" w:rsidTr="007F3CD9">
        <w:trPr>
          <w:trHeight w:val="470"/>
        </w:trPr>
        <w:tc>
          <w:tcPr>
            <w:tcW w:w="3304" w:type="dxa"/>
            <w:shd w:val="clear" w:color="auto" w:fill="DEEAF6" w:themeFill="accent1" w:themeFillTint="33"/>
          </w:tcPr>
          <w:p w14:paraId="49F160B1" w14:textId="77777777" w:rsidR="007F3CD9" w:rsidRPr="007F3CD9" w:rsidRDefault="007F3CD9">
            <w:pPr>
              <w:rPr>
                <w:b/>
              </w:rPr>
            </w:pPr>
            <w:r>
              <w:rPr>
                <w:b/>
              </w:rPr>
              <w:t>Relevant</w:t>
            </w:r>
            <w:r w:rsidRPr="007F3CD9">
              <w:rPr>
                <w:b/>
              </w:rPr>
              <w:t xml:space="preserve"> links </w:t>
            </w:r>
            <w:r w:rsidR="001B792D">
              <w:rPr>
                <w:b/>
              </w:rPr>
              <w:t xml:space="preserve">/ more information </w:t>
            </w:r>
          </w:p>
          <w:p w14:paraId="4C17368C" w14:textId="77777777" w:rsidR="007F3CD9" w:rsidRDefault="007F3CD9"/>
        </w:tc>
        <w:tc>
          <w:tcPr>
            <w:tcW w:w="5846" w:type="dxa"/>
          </w:tcPr>
          <w:p w14:paraId="3194874E" w14:textId="77777777" w:rsidR="007F3CD9" w:rsidRDefault="007F3CD9"/>
          <w:p w14:paraId="2A178B23" w14:textId="77777777" w:rsidR="007F3CD9" w:rsidRDefault="00C10062">
            <w:hyperlink r:id="rId6" w:history="1">
              <w:r w:rsidR="007C3A10" w:rsidRPr="00810712">
                <w:rPr>
                  <w:rStyle w:val="Hyperlink"/>
                </w:rPr>
                <w:t>http://www.qub.ac.uk/schools/SchoolofPharmacy/Research/PostgraduatePositions/</w:t>
              </w:r>
            </w:hyperlink>
          </w:p>
          <w:p w14:paraId="64418259" w14:textId="77777777" w:rsidR="007C3A10" w:rsidRDefault="007C3A10"/>
          <w:p w14:paraId="403278DB" w14:textId="5AC98B88" w:rsidR="007C3A10" w:rsidRDefault="00C10062">
            <w:pPr>
              <w:rPr>
                <w:rStyle w:val="Hyperlink"/>
              </w:rPr>
            </w:pPr>
            <w:hyperlink r:id="rId7" w:history="1">
              <w:r w:rsidR="007C3A10" w:rsidRPr="00810712">
                <w:rPr>
                  <w:rStyle w:val="Hyperlink"/>
                </w:rPr>
                <w:t>http://www.qub.ac.uk/schools/SchoolofPharmacy/Research/</w:t>
              </w:r>
            </w:hyperlink>
          </w:p>
          <w:p w14:paraId="00FAC2CB" w14:textId="2F0F85D1" w:rsidR="009410C9" w:rsidRDefault="009410C9">
            <w:pPr>
              <w:rPr>
                <w:rStyle w:val="Hyperlink"/>
              </w:rPr>
            </w:pPr>
          </w:p>
          <w:p w14:paraId="018D72E1" w14:textId="77777777" w:rsidR="009410C9" w:rsidRDefault="009410C9"/>
          <w:p w14:paraId="6B53524E" w14:textId="1C9107B4" w:rsidR="007C3A10" w:rsidRDefault="007C3A10"/>
        </w:tc>
      </w:tr>
      <w:tr w:rsidR="001B792D" w14:paraId="047D132B" w14:textId="77777777" w:rsidTr="007F3CD9">
        <w:trPr>
          <w:trHeight w:val="470"/>
        </w:trPr>
        <w:tc>
          <w:tcPr>
            <w:tcW w:w="3304" w:type="dxa"/>
            <w:shd w:val="clear" w:color="auto" w:fill="DEEAF6" w:themeFill="accent1" w:themeFillTint="33"/>
          </w:tcPr>
          <w:p w14:paraId="12CD1648" w14:textId="77777777" w:rsidR="001B792D" w:rsidRDefault="001B792D">
            <w:pPr>
              <w:rPr>
                <w:b/>
              </w:rPr>
            </w:pPr>
            <w:r>
              <w:rPr>
                <w:b/>
              </w:rPr>
              <w:t>Keywords for search filters</w:t>
            </w:r>
          </w:p>
        </w:tc>
        <w:tc>
          <w:tcPr>
            <w:tcW w:w="5846" w:type="dxa"/>
          </w:tcPr>
          <w:p w14:paraId="60DC74E3" w14:textId="6E24103E" w:rsidR="001B792D" w:rsidRDefault="00221943">
            <w:r w:rsidRPr="0081105B">
              <w:t xml:space="preserve">In situ </w:t>
            </w:r>
            <w:r w:rsidRPr="00221943">
              <w:t xml:space="preserve">depot </w:t>
            </w:r>
            <w:r w:rsidRPr="0081105B">
              <w:t>forming</w:t>
            </w:r>
            <w:r w:rsidR="00456BB9">
              <w:t>, l</w:t>
            </w:r>
            <w:r w:rsidR="002A0A29">
              <w:t xml:space="preserve">ong-acting </w:t>
            </w:r>
            <w:r w:rsidR="00BB66B8">
              <w:t xml:space="preserve">drug delivery, </w:t>
            </w:r>
            <w:r w:rsidR="00456BB9">
              <w:t xml:space="preserve">sustained </w:t>
            </w:r>
            <w:r w:rsidR="002A0A29">
              <w:t>release</w:t>
            </w:r>
            <w:r w:rsidR="00BB66B8">
              <w:t xml:space="preserve">, polymer implants, </w:t>
            </w:r>
            <w:r>
              <w:t>cancer</w:t>
            </w:r>
            <w:r w:rsidR="00BB66B8">
              <w:t xml:space="preserve">, </w:t>
            </w:r>
            <w:r>
              <w:t xml:space="preserve">drug </w:t>
            </w:r>
            <w:r w:rsidR="00BB66B8">
              <w:t>delivery</w:t>
            </w:r>
            <w:r>
              <w:t xml:space="preserve">, hydrogels </w:t>
            </w:r>
            <w:r w:rsidR="00BB66B8">
              <w:t xml:space="preserve"> </w:t>
            </w:r>
          </w:p>
        </w:tc>
      </w:tr>
      <w:tr w:rsidR="001B792D" w14:paraId="0AC7B4C0" w14:textId="77777777" w:rsidTr="007F3CD9">
        <w:trPr>
          <w:trHeight w:val="470"/>
        </w:trPr>
        <w:tc>
          <w:tcPr>
            <w:tcW w:w="3304" w:type="dxa"/>
            <w:shd w:val="clear" w:color="auto" w:fill="DEEAF6" w:themeFill="accent1" w:themeFillTint="33"/>
          </w:tcPr>
          <w:p w14:paraId="4D54FEE9" w14:textId="77777777" w:rsidR="001B792D" w:rsidRDefault="001B792D">
            <w:pPr>
              <w:rPr>
                <w:b/>
              </w:rPr>
            </w:pPr>
            <w:r>
              <w:rPr>
                <w:b/>
              </w:rPr>
              <w:t>Training provided through the research project</w:t>
            </w:r>
          </w:p>
        </w:tc>
        <w:tc>
          <w:tcPr>
            <w:tcW w:w="5846" w:type="dxa"/>
          </w:tcPr>
          <w:p w14:paraId="50C40384" w14:textId="4AE8EA31" w:rsidR="001B792D" w:rsidRDefault="008C7EE0">
            <w:r>
              <w:t xml:space="preserve">Students will get training in pharmaceutical formulation; pharmaceutical analysis; </w:t>
            </w:r>
            <w:r w:rsidR="002A0A29">
              <w:t>microbiology; and mathematical modelling</w:t>
            </w:r>
            <w:r>
              <w:t xml:space="preserve">. In addition, students will be trained in a </w:t>
            </w:r>
            <w:r w:rsidR="00C823A0">
              <w:t xml:space="preserve">wide </w:t>
            </w:r>
            <w:r>
              <w:t xml:space="preserve">range of R&amp;D related activities throughout the PhD program that will enable them to become an independent research and/or </w:t>
            </w:r>
            <w:r w:rsidR="00C823A0">
              <w:t>ready for industrial positions</w:t>
            </w:r>
            <w:r w:rsidR="002A0A29">
              <w:t xml:space="preserve">. </w:t>
            </w:r>
            <w:r w:rsidR="002A0A29" w:rsidRPr="002A0A29">
              <w:t xml:space="preserve">It </w:t>
            </w:r>
            <w:r w:rsidR="002A0A29" w:rsidRPr="002A0A29">
              <w:lastRenderedPageBreak/>
              <w:t>will also provide opportunity for the PhD student to present their research at national and international conferences</w:t>
            </w:r>
            <w:r w:rsidR="00C823A0">
              <w:t xml:space="preserve"> </w:t>
            </w:r>
          </w:p>
        </w:tc>
      </w:tr>
      <w:tr w:rsidR="001B792D" w14:paraId="35AA849E" w14:textId="77777777" w:rsidTr="007F3CD9">
        <w:trPr>
          <w:trHeight w:val="470"/>
        </w:trPr>
        <w:tc>
          <w:tcPr>
            <w:tcW w:w="3304" w:type="dxa"/>
            <w:shd w:val="clear" w:color="auto" w:fill="DEEAF6" w:themeFill="accent1" w:themeFillTint="33"/>
          </w:tcPr>
          <w:p w14:paraId="2A6DDC67" w14:textId="77777777" w:rsidR="001B792D" w:rsidRDefault="001B792D">
            <w:pPr>
              <w:rPr>
                <w:b/>
              </w:rPr>
            </w:pPr>
            <w:r>
              <w:rPr>
                <w:b/>
              </w:rPr>
              <w:lastRenderedPageBreak/>
              <w:t>Expected impact activities</w:t>
            </w:r>
          </w:p>
        </w:tc>
        <w:tc>
          <w:tcPr>
            <w:tcW w:w="5846" w:type="dxa"/>
          </w:tcPr>
          <w:p w14:paraId="53AD2D2A" w14:textId="77777777" w:rsidR="001B792D" w:rsidRDefault="001B792D"/>
        </w:tc>
      </w:tr>
    </w:tbl>
    <w:p w14:paraId="69AE6B80" w14:textId="77777777" w:rsidR="00375356" w:rsidRDefault="00375356"/>
    <w:sectPr w:rsidR="0037535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swiss"/>
    <w:pitch w:val="variable"/>
    <w:sig w:usb0="E1000AEF" w:usb1="5000A1FF" w:usb2="00000000" w:usb3="00000000" w:csb0="000001BF" w:csb1="00000000"/>
  </w:font>
  <w:font w:name="Helvetica">
    <w:panose1 w:val="020B0604020202020204"/>
    <w:charset w:val="00"/>
    <w:family w:val="swiss"/>
    <w:pitch w:val="variable"/>
    <w:sig w:usb0="E0002EFF" w:usb1="C000785B" w:usb2="00000009" w:usb3="00000000" w:csb0="000001FF" w:csb1="00000000"/>
  </w:font>
  <w:font w:name="ヒラギノ角ゴ Pro W3">
    <w:charset w:val="80"/>
    <w:family w:val="swiss"/>
    <w:pitch w:val="variable"/>
    <w:sig w:usb0="E00002FF" w:usb1="7AC7FFFF" w:usb2="00000012" w:usb3="00000000" w:csb0="0002000D"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w:panose1 w:val="02020603050405020304"/>
    <w:charset w:val="00"/>
    <w:family w:val="auto"/>
    <w:pitch w:val="variable"/>
    <w:sig w:usb0="E00002FF" w:usb1="5000205A"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241469"/>
    <w:multiLevelType w:val="multilevel"/>
    <w:tmpl w:val="86C84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F2B382C"/>
    <w:multiLevelType w:val="multilevel"/>
    <w:tmpl w:val="39943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4B85528"/>
    <w:multiLevelType w:val="hybridMultilevel"/>
    <w:tmpl w:val="5FF831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CD9"/>
    <w:rsid w:val="00001543"/>
    <w:rsid w:val="00002F77"/>
    <w:rsid w:val="000140E0"/>
    <w:rsid w:val="00017B3A"/>
    <w:rsid w:val="000211E7"/>
    <w:rsid w:val="00036AC1"/>
    <w:rsid w:val="0006730B"/>
    <w:rsid w:val="00074FC2"/>
    <w:rsid w:val="00076683"/>
    <w:rsid w:val="0008106D"/>
    <w:rsid w:val="00087903"/>
    <w:rsid w:val="00093ED6"/>
    <w:rsid w:val="000976C2"/>
    <w:rsid w:val="000B0449"/>
    <w:rsid w:val="000B5232"/>
    <w:rsid w:val="000B5533"/>
    <w:rsid w:val="000C6238"/>
    <w:rsid w:val="000D526E"/>
    <w:rsid w:val="000F0B0E"/>
    <w:rsid w:val="000F380D"/>
    <w:rsid w:val="000F550F"/>
    <w:rsid w:val="000F6B4D"/>
    <w:rsid w:val="00100C14"/>
    <w:rsid w:val="00114809"/>
    <w:rsid w:val="0011755E"/>
    <w:rsid w:val="001215F1"/>
    <w:rsid w:val="00125BB4"/>
    <w:rsid w:val="00127B6D"/>
    <w:rsid w:val="0013226E"/>
    <w:rsid w:val="00136716"/>
    <w:rsid w:val="00136A7C"/>
    <w:rsid w:val="0014119A"/>
    <w:rsid w:val="00147201"/>
    <w:rsid w:val="00152845"/>
    <w:rsid w:val="00152DAA"/>
    <w:rsid w:val="00152DD3"/>
    <w:rsid w:val="00157E70"/>
    <w:rsid w:val="001757EF"/>
    <w:rsid w:val="001865C3"/>
    <w:rsid w:val="00190974"/>
    <w:rsid w:val="001976E1"/>
    <w:rsid w:val="001B35A8"/>
    <w:rsid w:val="001B56F1"/>
    <w:rsid w:val="001B7418"/>
    <w:rsid w:val="001B792D"/>
    <w:rsid w:val="001B7A47"/>
    <w:rsid w:val="001C09BA"/>
    <w:rsid w:val="001C15E7"/>
    <w:rsid w:val="001C36D8"/>
    <w:rsid w:val="001C59A2"/>
    <w:rsid w:val="001C6CFE"/>
    <w:rsid w:val="001D5A77"/>
    <w:rsid w:val="001E0C79"/>
    <w:rsid w:val="001E10DB"/>
    <w:rsid w:val="001E6AE7"/>
    <w:rsid w:val="001F273F"/>
    <w:rsid w:val="001F700A"/>
    <w:rsid w:val="0020699C"/>
    <w:rsid w:val="00221943"/>
    <w:rsid w:val="0023305E"/>
    <w:rsid w:val="00234A97"/>
    <w:rsid w:val="002438AA"/>
    <w:rsid w:val="0024565D"/>
    <w:rsid w:val="002663D0"/>
    <w:rsid w:val="002679A5"/>
    <w:rsid w:val="00270CA4"/>
    <w:rsid w:val="00275E36"/>
    <w:rsid w:val="00286380"/>
    <w:rsid w:val="002A0180"/>
    <w:rsid w:val="002A0A29"/>
    <w:rsid w:val="002A22B2"/>
    <w:rsid w:val="002A6F4F"/>
    <w:rsid w:val="002B644E"/>
    <w:rsid w:val="002B6455"/>
    <w:rsid w:val="002E0374"/>
    <w:rsid w:val="002E6701"/>
    <w:rsid w:val="002F06D8"/>
    <w:rsid w:val="002F38B4"/>
    <w:rsid w:val="002F3D8F"/>
    <w:rsid w:val="00300B77"/>
    <w:rsid w:val="00303DAB"/>
    <w:rsid w:val="00312241"/>
    <w:rsid w:val="00315F1B"/>
    <w:rsid w:val="00322E90"/>
    <w:rsid w:val="0034159F"/>
    <w:rsid w:val="003418CF"/>
    <w:rsid w:val="00342E0B"/>
    <w:rsid w:val="003437FB"/>
    <w:rsid w:val="00346EA7"/>
    <w:rsid w:val="00347872"/>
    <w:rsid w:val="00353B81"/>
    <w:rsid w:val="0037391E"/>
    <w:rsid w:val="00374800"/>
    <w:rsid w:val="00375356"/>
    <w:rsid w:val="00381594"/>
    <w:rsid w:val="003862E4"/>
    <w:rsid w:val="003910C4"/>
    <w:rsid w:val="00396B87"/>
    <w:rsid w:val="003A2015"/>
    <w:rsid w:val="003A233A"/>
    <w:rsid w:val="003A50B5"/>
    <w:rsid w:val="003A76E9"/>
    <w:rsid w:val="003B22CC"/>
    <w:rsid w:val="003B6BB5"/>
    <w:rsid w:val="003C0DD9"/>
    <w:rsid w:val="003C14F2"/>
    <w:rsid w:val="003D1166"/>
    <w:rsid w:val="003E3D1A"/>
    <w:rsid w:val="003E4D9E"/>
    <w:rsid w:val="003F5DA8"/>
    <w:rsid w:val="003F716D"/>
    <w:rsid w:val="00403319"/>
    <w:rsid w:val="0040602C"/>
    <w:rsid w:val="00407ED6"/>
    <w:rsid w:val="00420A13"/>
    <w:rsid w:val="004258A6"/>
    <w:rsid w:val="0043514D"/>
    <w:rsid w:val="00437BE9"/>
    <w:rsid w:val="00452039"/>
    <w:rsid w:val="00456BB9"/>
    <w:rsid w:val="004658F1"/>
    <w:rsid w:val="0047023E"/>
    <w:rsid w:val="0047276F"/>
    <w:rsid w:val="00480D4A"/>
    <w:rsid w:val="0048607D"/>
    <w:rsid w:val="004874AA"/>
    <w:rsid w:val="004A4702"/>
    <w:rsid w:val="004C36C5"/>
    <w:rsid w:val="004C4456"/>
    <w:rsid w:val="004C5821"/>
    <w:rsid w:val="004C6CB4"/>
    <w:rsid w:val="004D2EF5"/>
    <w:rsid w:val="004D7242"/>
    <w:rsid w:val="004E5754"/>
    <w:rsid w:val="004E57B7"/>
    <w:rsid w:val="004F4713"/>
    <w:rsid w:val="004F57F3"/>
    <w:rsid w:val="00507600"/>
    <w:rsid w:val="00512B98"/>
    <w:rsid w:val="005147CD"/>
    <w:rsid w:val="00524C40"/>
    <w:rsid w:val="00526EC6"/>
    <w:rsid w:val="00527250"/>
    <w:rsid w:val="0053253B"/>
    <w:rsid w:val="0053628D"/>
    <w:rsid w:val="00541A46"/>
    <w:rsid w:val="00550AAE"/>
    <w:rsid w:val="00553AB1"/>
    <w:rsid w:val="00567EBE"/>
    <w:rsid w:val="0058648B"/>
    <w:rsid w:val="00596603"/>
    <w:rsid w:val="005B1A39"/>
    <w:rsid w:val="005B5E39"/>
    <w:rsid w:val="005B7F83"/>
    <w:rsid w:val="005D1843"/>
    <w:rsid w:val="005D4DF9"/>
    <w:rsid w:val="005E19CD"/>
    <w:rsid w:val="005F2741"/>
    <w:rsid w:val="005F301D"/>
    <w:rsid w:val="00612977"/>
    <w:rsid w:val="00636529"/>
    <w:rsid w:val="00636A02"/>
    <w:rsid w:val="0064028D"/>
    <w:rsid w:val="00640638"/>
    <w:rsid w:val="0064387C"/>
    <w:rsid w:val="00656476"/>
    <w:rsid w:val="00657EC8"/>
    <w:rsid w:val="00663A1A"/>
    <w:rsid w:val="006757CE"/>
    <w:rsid w:val="006815A5"/>
    <w:rsid w:val="00695F66"/>
    <w:rsid w:val="006977CC"/>
    <w:rsid w:val="006B2D8B"/>
    <w:rsid w:val="006B5E92"/>
    <w:rsid w:val="006C2131"/>
    <w:rsid w:val="006C5676"/>
    <w:rsid w:val="006C60CA"/>
    <w:rsid w:val="006C7069"/>
    <w:rsid w:val="006C778B"/>
    <w:rsid w:val="006D1994"/>
    <w:rsid w:val="006E4E27"/>
    <w:rsid w:val="006F6EA4"/>
    <w:rsid w:val="00703E40"/>
    <w:rsid w:val="00704886"/>
    <w:rsid w:val="00720F2B"/>
    <w:rsid w:val="00727F85"/>
    <w:rsid w:val="007347D4"/>
    <w:rsid w:val="0075794A"/>
    <w:rsid w:val="00757A63"/>
    <w:rsid w:val="007627E0"/>
    <w:rsid w:val="0076752E"/>
    <w:rsid w:val="0077082C"/>
    <w:rsid w:val="00771690"/>
    <w:rsid w:val="00771E79"/>
    <w:rsid w:val="0077245E"/>
    <w:rsid w:val="00776188"/>
    <w:rsid w:val="00781A8B"/>
    <w:rsid w:val="00781ED6"/>
    <w:rsid w:val="00793FA5"/>
    <w:rsid w:val="007B185B"/>
    <w:rsid w:val="007B1FB4"/>
    <w:rsid w:val="007B2C32"/>
    <w:rsid w:val="007B515E"/>
    <w:rsid w:val="007B5CF8"/>
    <w:rsid w:val="007B6E4A"/>
    <w:rsid w:val="007C3A10"/>
    <w:rsid w:val="007D2A36"/>
    <w:rsid w:val="007E0D0E"/>
    <w:rsid w:val="007E6E7C"/>
    <w:rsid w:val="007F3B9F"/>
    <w:rsid w:val="007F3CD9"/>
    <w:rsid w:val="007F7C74"/>
    <w:rsid w:val="008022E0"/>
    <w:rsid w:val="0081105B"/>
    <w:rsid w:val="0081399F"/>
    <w:rsid w:val="00821CE6"/>
    <w:rsid w:val="00823089"/>
    <w:rsid w:val="00835A1C"/>
    <w:rsid w:val="00836A05"/>
    <w:rsid w:val="0085153F"/>
    <w:rsid w:val="00854482"/>
    <w:rsid w:val="00862594"/>
    <w:rsid w:val="0087029C"/>
    <w:rsid w:val="00880D9A"/>
    <w:rsid w:val="0088290A"/>
    <w:rsid w:val="00884B0B"/>
    <w:rsid w:val="0088648A"/>
    <w:rsid w:val="0089003B"/>
    <w:rsid w:val="00890EB8"/>
    <w:rsid w:val="008937DE"/>
    <w:rsid w:val="00893C50"/>
    <w:rsid w:val="00897BAA"/>
    <w:rsid w:val="008A002F"/>
    <w:rsid w:val="008C083D"/>
    <w:rsid w:val="008C7EE0"/>
    <w:rsid w:val="008F1C24"/>
    <w:rsid w:val="00925FA3"/>
    <w:rsid w:val="009279B9"/>
    <w:rsid w:val="009410C9"/>
    <w:rsid w:val="009453CE"/>
    <w:rsid w:val="0095334C"/>
    <w:rsid w:val="00956BE2"/>
    <w:rsid w:val="00957551"/>
    <w:rsid w:val="00966D14"/>
    <w:rsid w:val="00981E1C"/>
    <w:rsid w:val="00982267"/>
    <w:rsid w:val="00982CC7"/>
    <w:rsid w:val="00993573"/>
    <w:rsid w:val="00996932"/>
    <w:rsid w:val="009B03F1"/>
    <w:rsid w:val="009B569A"/>
    <w:rsid w:val="009D483E"/>
    <w:rsid w:val="009D4AE3"/>
    <w:rsid w:val="009F0F1A"/>
    <w:rsid w:val="009F4EDF"/>
    <w:rsid w:val="00A0196B"/>
    <w:rsid w:val="00A05C2D"/>
    <w:rsid w:val="00A131B2"/>
    <w:rsid w:val="00A14FEA"/>
    <w:rsid w:val="00A24586"/>
    <w:rsid w:val="00A2502A"/>
    <w:rsid w:val="00A30D12"/>
    <w:rsid w:val="00A3441A"/>
    <w:rsid w:val="00A354B3"/>
    <w:rsid w:val="00A404C0"/>
    <w:rsid w:val="00A51E47"/>
    <w:rsid w:val="00A768A4"/>
    <w:rsid w:val="00A907D7"/>
    <w:rsid w:val="00A90948"/>
    <w:rsid w:val="00AA53C1"/>
    <w:rsid w:val="00AB4CB5"/>
    <w:rsid w:val="00AB72A5"/>
    <w:rsid w:val="00AB76CD"/>
    <w:rsid w:val="00AC07AE"/>
    <w:rsid w:val="00AC1FE9"/>
    <w:rsid w:val="00AD429E"/>
    <w:rsid w:val="00AD6DB6"/>
    <w:rsid w:val="00AE15FE"/>
    <w:rsid w:val="00AF3133"/>
    <w:rsid w:val="00B030A3"/>
    <w:rsid w:val="00B07BDF"/>
    <w:rsid w:val="00B1507C"/>
    <w:rsid w:val="00B160F9"/>
    <w:rsid w:val="00B16E01"/>
    <w:rsid w:val="00B21B3C"/>
    <w:rsid w:val="00B27846"/>
    <w:rsid w:val="00B359EF"/>
    <w:rsid w:val="00B363F2"/>
    <w:rsid w:val="00B40805"/>
    <w:rsid w:val="00B40C54"/>
    <w:rsid w:val="00B42F58"/>
    <w:rsid w:val="00B47154"/>
    <w:rsid w:val="00B50BAC"/>
    <w:rsid w:val="00B55E28"/>
    <w:rsid w:val="00B6354C"/>
    <w:rsid w:val="00B703CE"/>
    <w:rsid w:val="00BA71ED"/>
    <w:rsid w:val="00BB66B8"/>
    <w:rsid w:val="00BB6F08"/>
    <w:rsid w:val="00BC2944"/>
    <w:rsid w:val="00BE346B"/>
    <w:rsid w:val="00BF08BD"/>
    <w:rsid w:val="00BF17EC"/>
    <w:rsid w:val="00BF4B26"/>
    <w:rsid w:val="00BF57DC"/>
    <w:rsid w:val="00C10062"/>
    <w:rsid w:val="00C12418"/>
    <w:rsid w:val="00C2183A"/>
    <w:rsid w:val="00C263B0"/>
    <w:rsid w:val="00C31A8A"/>
    <w:rsid w:val="00C3441B"/>
    <w:rsid w:val="00C428CF"/>
    <w:rsid w:val="00C50D2D"/>
    <w:rsid w:val="00C519E9"/>
    <w:rsid w:val="00C57CF9"/>
    <w:rsid w:val="00C6334C"/>
    <w:rsid w:val="00C66B4F"/>
    <w:rsid w:val="00C7500B"/>
    <w:rsid w:val="00C823A0"/>
    <w:rsid w:val="00C861B6"/>
    <w:rsid w:val="00C876DB"/>
    <w:rsid w:val="00C912B9"/>
    <w:rsid w:val="00C938C4"/>
    <w:rsid w:val="00CA2E64"/>
    <w:rsid w:val="00CA3E08"/>
    <w:rsid w:val="00CA70D8"/>
    <w:rsid w:val="00CB3D31"/>
    <w:rsid w:val="00CC767D"/>
    <w:rsid w:val="00CD4D50"/>
    <w:rsid w:val="00CE1429"/>
    <w:rsid w:val="00CE50BE"/>
    <w:rsid w:val="00CE6CFB"/>
    <w:rsid w:val="00D00807"/>
    <w:rsid w:val="00D0311E"/>
    <w:rsid w:val="00D113D5"/>
    <w:rsid w:val="00D11B48"/>
    <w:rsid w:val="00D1708D"/>
    <w:rsid w:val="00D23483"/>
    <w:rsid w:val="00D31D29"/>
    <w:rsid w:val="00D367BF"/>
    <w:rsid w:val="00D5030D"/>
    <w:rsid w:val="00D5690F"/>
    <w:rsid w:val="00D57854"/>
    <w:rsid w:val="00D64E36"/>
    <w:rsid w:val="00D804A3"/>
    <w:rsid w:val="00D80D41"/>
    <w:rsid w:val="00D82FEF"/>
    <w:rsid w:val="00D91A1F"/>
    <w:rsid w:val="00DA3F99"/>
    <w:rsid w:val="00DB009E"/>
    <w:rsid w:val="00DB437C"/>
    <w:rsid w:val="00DB450E"/>
    <w:rsid w:val="00DB709B"/>
    <w:rsid w:val="00DC5B83"/>
    <w:rsid w:val="00DC7070"/>
    <w:rsid w:val="00DD1D77"/>
    <w:rsid w:val="00DD6932"/>
    <w:rsid w:val="00DF148B"/>
    <w:rsid w:val="00E11BB2"/>
    <w:rsid w:val="00E177D8"/>
    <w:rsid w:val="00E2148C"/>
    <w:rsid w:val="00E27D11"/>
    <w:rsid w:val="00E35E2D"/>
    <w:rsid w:val="00E36870"/>
    <w:rsid w:val="00E44D18"/>
    <w:rsid w:val="00E471FE"/>
    <w:rsid w:val="00E5373D"/>
    <w:rsid w:val="00E618A6"/>
    <w:rsid w:val="00E62BE0"/>
    <w:rsid w:val="00E720D9"/>
    <w:rsid w:val="00E721FA"/>
    <w:rsid w:val="00E731E0"/>
    <w:rsid w:val="00E76C26"/>
    <w:rsid w:val="00EA02F6"/>
    <w:rsid w:val="00EA0D01"/>
    <w:rsid w:val="00EA70C2"/>
    <w:rsid w:val="00EC4DE0"/>
    <w:rsid w:val="00EC505E"/>
    <w:rsid w:val="00ED21A7"/>
    <w:rsid w:val="00ED5C21"/>
    <w:rsid w:val="00EE14CB"/>
    <w:rsid w:val="00EE3B21"/>
    <w:rsid w:val="00EE5C5D"/>
    <w:rsid w:val="00EE693D"/>
    <w:rsid w:val="00EF23A4"/>
    <w:rsid w:val="00EF271B"/>
    <w:rsid w:val="00F036F4"/>
    <w:rsid w:val="00F1151C"/>
    <w:rsid w:val="00F25244"/>
    <w:rsid w:val="00F2645B"/>
    <w:rsid w:val="00F276FA"/>
    <w:rsid w:val="00F333AB"/>
    <w:rsid w:val="00F376E8"/>
    <w:rsid w:val="00F45400"/>
    <w:rsid w:val="00F52902"/>
    <w:rsid w:val="00F53AD2"/>
    <w:rsid w:val="00F61002"/>
    <w:rsid w:val="00F74680"/>
    <w:rsid w:val="00F76DAC"/>
    <w:rsid w:val="00F81886"/>
    <w:rsid w:val="00F82BDB"/>
    <w:rsid w:val="00F848EA"/>
    <w:rsid w:val="00F90DB4"/>
    <w:rsid w:val="00FB3233"/>
    <w:rsid w:val="00FB6942"/>
    <w:rsid w:val="00FC08F5"/>
    <w:rsid w:val="00FC2092"/>
    <w:rsid w:val="00FC4575"/>
    <w:rsid w:val="00FD37C6"/>
    <w:rsid w:val="00FD72DC"/>
    <w:rsid w:val="00FE66B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E8F7BB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F3CD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F3C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F3CD9"/>
    <w:rPr>
      <w:color w:val="0563C1" w:themeColor="hyperlink"/>
      <w:u w:val="single"/>
    </w:rPr>
  </w:style>
  <w:style w:type="character" w:customStyle="1" w:styleId="Heading1Char">
    <w:name w:val="Heading 1 Char"/>
    <w:basedOn w:val="DefaultParagraphFont"/>
    <w:link w:val="Heading1"/>
    <w:uiPriority w:val="9"/>
    <w:rsid w:val="007F3CD9"/>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695F66"/>
    <w:pPr>
      <w:ind w:left="720"/>
      <w:contextualSpacing/>
    </w:pPr>
  </w:style>
  <w:style w:type="paragraph" w:styleId="BalloonText">
    <w:name w:val="Balloon Text"/>
    <w:basedOn w:val="Normal"/>
    <w:link w:val="BalloonTextChar"/>
    <w:uiPriority w:val="99"/>
    <w:semiHidden/>
    <w:unhideWhenUsed/>
    <w:rsid w:val="00BA71ED"/>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A71ED"/>
    <w:rPr>
      <w:rFonts w:ascii="Lucida Grande" w:hAnsi="Lucida Grande" w:cs="Lucida Grande"/>
      <w:sz w:val="18"/>
      <w:szCs w:val="18"/>
    </w:rPr>
  </w:style>
  <w:style w:type="character" w:styleId="FollowedHyperlink">
    <w:name w:val="FollowedHyperlink"/>
    <w:basedOn w:val="DefaultParagraphFont"/>
    <w:uiPriority w:val="99"/>
    <w:semiHidden/>
    <w:unhideWhenUsed/>
    <w:rsid w:val="00BB66B8"/>
    <w:rPr>
      <w:color w:val="954F72" w:themeColor="followedHyperlink"/>
      <w:u w:val="single"/>
    </w:rPr>
  </w:style>
  <w:style w:type="paragraph" w:styleId="NormalWeb">
    <w:name w:val="Normal (Web)"/>
    <w:basedOn w:val="Normal"/>
    <w:uiPriority w:val="99"/>
    <w:semiHidden/>
    <w:unhideWhenUsed/>
    <w:rsid w:val="002A0A29"/>
    <w:rPr>
      <w:rFonts w:ascii="Times New Roman" w:hAnsi="Times New Roman" w:cs="Times New Roman"/>
      <w:sz w:val="24"/>
      <w:szCs w:val="24"/>
    </w:rPr>
  </w:style>
  <w:style w:type="paragraph" w:customStyle="1" w:styleId="FreeForm">
    <w:name w:val="Free Form"/>
    <w:rsid w:val="00524C40"/>
    <w:pPr>
      <w:spacing w:after="0" w:line="240" w:lineRule="auto"/>
    </w:pPr>
    <w:rPr>
      <w:rFonts w:ascii="Helvetica" w:eastAsia="ヒラギノ角ゴ Pro W3" w:hAnsi="Helvetica" w:cs="Times New Roman"/>
      <w:color w:val="000000"/>
      <w:sz w:val="24"/>
      <w:szCs w:val="20"/>
      <w:lang w:val="en-US"/>
    </w:rPr>
  </w:style>
  <w:style w:type="paragraph" w:customStyle="1" w:styleId="paragraph">
    <w:name w:val="paragraph"/>
    <w:basedOn w:val="Normal"/>
    <w:rsid w:val="00C1006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C10062"/>
  </w:style>
  <w:style w:type="character" w:customStyle="1" w:styleId="eop">
    <w:name w:val="eop"/>
    <w:basedOn w:val="DefaultParagraphFont"/>
    <w:rsid w:val="00C10062"/>
  </w:style>
  <w:style w:type="character" w:styleId="Strong">
    <w:name w:val="Strong"/>
    <w:basedOn w:val="DefaultParagraphFont"/>
    <w:uiPriority w:val="22"/>
    <w:qFormat/>
    <w:rsid w:val="00C1006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072301">
      <w:bodyDiv w:val="1"/>
      <w:marLeft w:val="0"/>
      <w:marRight w:val="0"/>
      <w:marTop w:val="0"/>
      <w:marBottom w:val="0"/>
      <w:divBdr>
        <w:top w:val="none" w:sz="0" w:space="0" w:color="auto"/>
        <w:left w:val="none" w:sz="0" w:space="0" w:color="auto"/>
        <w:bottom w:val="none" w:sz="0" w:space="0" w:color="auto"/>
        <w:right w:val="none" w:sz="0" w:space="0" w:color="auto"/>
      </w:divBdr>
    </w:div>
    <w:div w:id="515580538">
      <w:bodyDiv w:val="1"/>
      <w:marLeft w:val="0"/>
      <w:marRight w:val="0"/>
      <w:marTop w:val="0"/>
      <w:marBottom w:val="0"/>
      <w:divBdr>
        <w:top w:val="none" w:sz="0" w:space="0" w:color="auto"/>
        <w:left w:val="none" w:sz="0" w:space="0" w:color="auto"/>
        <w:bottom w:val="none" w:sz="0" w:space="0" w:color="auto"/>
        <w:right w:val="none" w:sz="0" w:space="0" w:color="auto"/>
      </w:divBdr>
    </w:div>
    <w:div w:id="1411192262">
      <w:bodyDiv w:val="1"/>
      <w:marLeft w:val="0"/>
      <w:marRight w:val="0"/>
      <w:marTop w:val="0"/>
      <w:marBottom w:val="0"/>
      <w:divBdr>
        <w:top w:val="none" w:sz="0" w:space="0" w:color="auto"/>
        <w:left w:val="none" w:sz="0" w:space="0" w:color="auto"/>
        <w:bottom w:val="none" w:sz="0" w:space="0" w:color="auto"/>
        <w:right w:val="none" w:sz="0" w:space="0" w:color="auto"/>
      </w:divBdr>
      <w:divsChild>
        <w:div w:id="306014000">
          <w:marLeft w:val="0"/>
          <w:marRight w:val="0"/>
          <w:marTop w:val="0"/>
          <w:marBottom w:val="0"/>
          <w:divBdr>
            <w:top w:val="none" w:sz="0" w:space="0" w:color="auto"/>
            <w:left w:val="none" w:sz="0" w:space="0" w:color="auto"/>
            <w:bottom w:val="none" w:sz="0" w:space="0" w:color="auto"/>
            <w:right w:val="none" w:sz="0" w:space="0" w:color="auto"/>
          </w:divBdr>
          <w:divsChild>
            <w:div w:id="78524580">
              <w:marLeft w:val="0"/>
              <w:marRight w:val="0"/>
              <w:marTop w:val="0"/>
              <w:marBottom w:val="0"/>
              <w:divBdr>
                <w:top w:val="none" w:sz="0" w:space="0" w:color="auto"/>
                <w:left w:val="none" w:sz="0" w:space="0" w:color="auto"/>
                <w:bottom w:val="none" w:sz="0" w:space="0" w:color="auto"/>
                <w:right w:val="none" w:sz="0" w:space="0" w:color="auto"/>
              </w:divBdr>
              <w:divsChild>
                <w:div w:id="653800311">
                  <w:marLeft w:val="0"/>
                  <w:marRight w:val="0"/>
                  <w:marTop w:val="0"/>
                  <w:marBottom w:val="0"/>
                  <w:divBdr>
                    <w:top w:val="none" w:sz="0" w:space="0" w:color="auto"/>
                    <w:left w:val="none" w:sz="0" w:space="0" w:color="auto"/>
                    <w:bottom w:val="none" w:sz="0" w:space="0" w:color="auto"/>
                    <w:right w:val="none" w:sz="0" w:space="0" w:color="auto"/>
                  </w:divBdr>
                  <w:divsChild>
                    <w:div w:id="1151407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8433473">
      <w:bodyDiv w:val="1"/>
      <w:marLeft w:val="0"/>
      <w:marRight w:val="0"/>
      <w:marTop w:val="0"/>
      <w:marBottom w:val="0"/>
      <w:divBdr>
        <w:top w:val="none" w:sz="0" w:space="0" w:color="auto"/>
        <w:left w:val="none" w:sz="0" w:space="0" w:color="auto"/>
        <w:bottom w:val="none" w:sz="0" w:space="0" w:color="auto"/>
        <w:right w:val="none" w:sz="0" w:space="0" w:color="auto"/>
      </w:divBdr>
    </w:div>
    <w:div w:id="2020690401">
      <w:bodyDiv w:val="1"/>
      <w:marLeft w:val="0"/>
      <w:marRight w:val="0"/>
      <w:marTop w:val="0"/>
      <w:marBottom w:val="0"/>
      <w:divBdr>
        <w:top w:val="none" w:sz="0" w:space="0" w:color="auto"/>
        <w:left w:val="none" w:sz="0" w:space="0" w:color="auto"/>
        <w:bottom w:val="none" w:sz="0" w:space="0" w:color="auto"/>
        <w:right w:val="none" w:sz="0" w:space="0" w:color="auto"/>
      </w:divBdr>
      <w:divsChild>
        <w:div w:id="828251605">
          <w:marLeft w:val="0"/>
          <w:marRight w:val="0"/>
          <w:marTop w:val="0"/>
          <w:marBottom w:val="0"/>
          <w:divBdr>
            <w:top w:val="none" w:sz="0" w:space="0" w:color="auto"/>
            <w:left w:val="none" w:sz="0" w:space="0" w:color="auto"/>
            <w:bottom w:val="none" w:sz="0" w:space="0" w:color="auto"/>
            <w:right w:val="none" w:sz="0" w:space="0" w:color="auto"/>
          </w:divBdr>
          <w:divsChild>
            <w:div w:id="711539554">
              <w:marLeft w:val="0"/>
              <w:marRight w:val="0"/>
              <w:marTop w:val="0"/>
              <w:marBottom w:val="0"/>
              <w:divBdr>
                <w:top w:val="none" w:sz="0" w:space="0" w:color="auto"/>
                <w:left w:val="none" w:sz="0" w:space="0" w:color="auto"/>
                <w:bottom w:val="none" w:sz="0" w:space="0" w:color="auto"/>
                <w:right w:val="none" w:sz="0" w:space="0" w:color="auto"/>
              </w:divBdr>
              <w:divsChild>
                <w:div w:id="1396246343">
                  <w:marLeft w:val="0"/>
                  <w:marRight w:val="0"/>
                  <w:marTop w:val="0"/>
                  <w:marBottom w:val="0"/>
                  <w:divBdr>
                    <w:top w:val="none" w:sz="0" w:space="0" w:color="auto"/>
                    <w:left w:val="none" w:sz="0" w:space="0" w:color="auto"/>
                    <w:bottom w:val="none" w:sz="0" w:space="0" w:color="auto"/>
                    <w:right w:val="none" w:sz="0" w:space="0" w:color="auto"/>
                  </w:divBdr>
                  <w:divsChild>
                    <w:div w:id="113490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qub.ac.uk/schools/SchoolofPharmacy/Researc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qub.ac.uk/schools/SchoolofPharmacy/Research/PostgraduatePositions/" TargetMode="External"/><Relationship Id="rId5" Type="http://schemas.openxmlformats.org/officeDocument/2006/relationships/hyperlink" Target="https://dap.qub.ac.uk/portal/user/u_login.php"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4400A8C6-AEC8-9842-8673-A1C71EA43C76}">
  <we:reference id="wa200001011" version="1.1.0.0" store="en-GB" storeType="OMEX"/>
  <we:alternateReferences>
    <we:reference id="wa200001011" version="1.1.0.0" store="WA200001011"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0</TotalTime>
  <Pages>3</Pages>
  <Words>892</Words>
  <Characters>5090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Queens University Belfast</Company>
  <LinksUpToDate>false</LinksUpToDate>
  <CharactersWithSpaces>5971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 Jess</dc:creator>
  <cp:lastModifiedBy>Ross Archibald</cp:lastModifiedBy>
  <cp:revision>13</cp:revision>
  <dcterms:created xsi:type="dcterms:W3CDTF">2020-11-10T13:15:00Z</dcterms:created>
  <dcterms:modified xsi:type="dcterms:W3CDTF">2021-11-19T12:22:00Z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documentId_3319</vt:lpwstr>
  </property>
  <property fmtid="{D5CDD505-2E9C-101B-9397-08002B2CF9AE}" pid="3" name="grammarly_documentContext">
    <vt:lpwstr>{"goals":[],"domain":"general","emotions":[],"dialect":"british"}</vt:lpwstr>
  </property>
</Properties>
</file>