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54FD6" w14:textId="3DEC6ABD" w:rsidR="002E0374" w:rsidRDefault="007F3CD9" w:rsidP="007F3CD9">
      <w:pPr>
        <w:pStyle w:val="Heading1"/>
      </w:pPr>
      <w:r>
        <w:t>PGR Studentship Information Template</w:t>
      </w:r>
      <w:r w:rsidR="00B44FF9">
        <w:t xml:space="preserve"> 20</w:t>
      </w:r>
      <w:r w:rsidR="00B4262C">
        <w:t>2</w:t>
      </w:r>
      <w:r w:rsidR="007617C3">
        <w:t>2</w:t>
      </w:r>
      <w:r w:rsidR="00695F66">
        <w:t xml:space="preserve"> entry</w:t>
      </w:r>
    </w:p>
    <w:p w14:paraId="6B24A493" w14:textId="77777777" w:rsidR="007F3CD9" w:rsidRDefault="007F3CD9"/>
    <w:p w14:paraId="77CA8174" w14:textId="77777777" w:rsidR="00695F66" w:rsidRDefault="00695F66" w:rsidP="00695F66">
      <w:pPr>
        <w:pStyle w:val="ListParagraph"/>
        <w:numPr>
          <w:ilvl w:val="0"/>
          <w:numId w:val="1"/>
        </w:numPr>
      </w:pPr>
      <w:r>
        <w:t xml:space="preserve">Please complete the template with as much information as possible. </w:t>
      </w:r>
    </w:p>
    <w:p w14:paraId="2ED52844" w14:textId="77777777" w:rsidR="001976E1" w:rsidRDefault="00695F66" w:rsidP="00695F66">
      <w:pPr>
        <w:pStyle w:val="ListParagraph"/>
        <w:numPr>
          <w:ilvl w:val="0"/>
          <w:numId w:val="1"/>
        </w:numPr>
      </w:pPr>
      <w:r>
        <w:t>*fields are essential.</w:t>
      </w:r>
    </w:p>
    <w:p w14:paraId="42768C8C" w14:textId="77777777" w:rsidR="00695F66" w:rsidRDefault="00695F66" w:rsidP="00695F66">
      <w:pPr>
        <w:pStyle w:val="ListParagraph"/>
        <w:numPr>
          <w:ilvl w:val="0"/>
          <w:numId w:val="1"/>
        </w:numPr>
      </w:pPr>
      <w:r>
        <w:t xml:space="preserve">If you have information that does not have a </w:t>
      </w:r>
      <w:r w:rsidR="00BA71ED">
        <w:t>l</w:t>
      </w:r>
      <w:r w:rsidR="00957551">
        <w:t>abel</w:t>
      </w:r>
      <w:r>
        <w:t xml:space="preserve">, please create a new row in the table for it. </w:t>
      </w:r>
    </w:p>
    <w:p w14:paraId="58FABA83" w14:textId="77777777" w:rsidR="001976E1" w:rsidRDefault="001976E1"/>
    <w:tbl>
      <w:tblPr>
        <w:tblStyle w:val="TableGrid"/>
        <w:tblW w:w="9242" w:type="dxa"/>
        <w:tblLook w:val="04A0" w:firstRow="1" w:lastRow="0" w:firstColumn="1" w:lastColumn="0" w:noHBand="0" w:noVBand="1"/>
      </w:tblPr>
      <w:tblGrid>
        <w:gridCol w:w="1522"/>
        <w:gridCol w:w="7789"/>
      </w:tblGrid>
      <w:tr w:rsidR="007F3CD9" w14:paraId="24B491A9" w14:textId="77777777" w:rsidTr="00873281">
        <w:trPr>
          <w:trHeight w:val="470"/>
        </w:trPr>
        <w:tc>
          <w:tcPr>
            <w:tcW w:w="1512" w:type="dxa"/>
            <w:shd w:val="clear" w:color="auto" w:fill="DEEAF6" w:themeFill="accent1" w:themeFillTint="33"/>
          </w:tcPr>
          <w:p w14:paraId="25D223C2" w14:textId="77777777" w:rsidR="007F3CD9" w:rsidRPr="007F3CD9" w:rsidRDefault="00695F66">
            <w:pPr>
              <w:rPr>
                <w:b/>
              </w:rPr>
            </w:pPr>
            <w:r>
              <w:rPr>
                <w:b/>
              </w:rPr>
              <w:t>*</w:t>
            </w:r>
            <w:r w:rsidR="007F3CD9" w:rsidRPr="007F3CD9">
              <w:rPr>
                <w:b/>
              </w:rPr>
              <w:t>Title of studentship</w:t>
            </w:r>
          </w:p>
        </w:tc>
        <w:tc>
          <w:tcPr>
            <w:tcW w:w="7730" w:type="dxa"/>
          </w:tcPr>
          <w:p w14:paraId="09B2A019" w14:textId="77777777" w:rsidR="007F3CD9" w:rsidRDefault="0058176A" w:rsidP="00211ADC">
            <w:r>
              <w:t>LONG-ACTING MICRONEEDLE DELIVERY SYSTEMS</w:t>
            </w:r>
          </w:p>
        </w:tc>
      </w:tr>
      <w:tr w:rsidR="007F3CD9" w14:paraId="787D0DF5" w14:textId="77777777" w:rsidTr="00873281">
        <w:trPr>
          <w:trHeight w:val="444"/>
        </w:trPr>
        <w:tc>
          <w:tcPr>
            <w:tcW w:w="1512" w:type="dxa"/>
            <w:shd w:val="clear" w:color="auto" w:fill="DEEAF6" w:themeFill="accent1" w:themeFillTint="33"/>
          </w:tcPr>
          <w:p w14:paraId="3E44CB2C" w14:textId="77777777" w:rsidR="007F3CD9" w:rsidRPr="007F3CD9" w:rsidRDefault="007F3CD9">
            <w:pPr>
              <w:rPr>
                <w:b/>
              </w:rPr>
            </w:pPr>
            <w:r w:rsidRPr="007F3CD9">
              <w:rPr>
                <w:b/>
              </w:rPr>
              <w:t>Value</w:t>
            </w:r>
            <w:r w:rsidR="000F380D">
              <w:rPr>
                <w:b/>
              </w:rPr>
              <w:t xml:space="preserve"> / what is covered? </w:t>
            </w:r>
          </w:p>
        </w:tc>
        <w:tc>
          <w:tcPr>
            <w:tcW w:w="7730" w:type="dxa"/>
          </w:tcPr>
          <w:p w14:paraId="216B5EA9" w14:textId="77777777" w:rsidR="00BB77C4" w:rsidRDefault="00BB77C4" w:rsidP="00BB77C4">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Fully funded</w:t>
            </w:r>
            <w:r>
              <w:rPr>
                <w:rStyle w:val="eop"/>
                <w:rFonts w:ascii="Calibri" w:hAnsi="Calibri" w:cs="Calibri"/>
                <w:sz w:val="22"/>
                <w:szCs w:val="22"/>
              </w:rPr>
              <w:t> </w:t>
            </w:r>
          </w:p>
          <w:p w14:paraId="2F1B3B1C" w14:textId="77777777" w:rsidR="00BB77C4" w:rsidRDefault="00BB77C4" w:rsidP="00BB77C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2B7601D" w14:textId="77777777" w:rsidR="00BB77C4" w:rsidRDefault="00BB77C4" w:rsidP="00BB77C4">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100% of UK/EU tuition fees paid and an annual stipend for UK residents only (living expenses), currently </w:t>
            </w:r>
            <w:r>
              <w:rPr>
                <w:rStyle w:val="normaltextrun"/>
                <w:rFonts w:asciiTheme="minorHAnsi" w:eastAsiaTheme="majorEastAsia" w:hAnsiTheme="minorHAnsi" w:cstheme="minorHAnsi"/>
                <w:sz w:val="22"/>
                <w:szCs w:val="22"/>
              </w:rPr>
              <w:t xml:space="preserve">at </w:t>
            </w:r>
            <w:r>
              <w:rPr>
                <w:rStyle w:val="Strong"/>
                <w:rFonts w:asciiTheme="minorHAnsi" w:hAnsiTheme="minorHAnsi" w:cstheme="minorHAnsi"/>
                <w:b w:val="0"/>
                <w:bCs w:val="0"/>
                <w:color w:val="111111"/>
                <w:sz w:val="22"/>
                <w:szCs w:val="22"/>
                <w:shd w:val="clear" w:color="auto" w:fill="FFFFFF"/>
              </w:rPr>
              <w:t>£15,285</w:t>
            </w:r>
          </w:p>
          <w:p w14:paraId="70333B76" w14:textId="77777777" w:rsidR="007C3A10" w:rsidRDefault="007C3A10" w:rsidP="00B4262C"/>
        </w:tc>
      </w:tr>
      <w:tr w:rsidR="007F3CD9" w14:paraId="4BDE664D" w14:textId="77777777" w:rsidTr="00873281">
        <w:trPr>
          <w:trHeight w:val="470"/>
        </w:trPr>
        <w:tc>
          <w:tcPr>
            <w:tcW w:w="1512" w:type="dxa"/>
            <w:shd w:val="clear" w:color="auto" w:fill="DEEAF6" w:themeFill="accent1" w:themeFillTint="33"/>
          </w:tcPr>
          <w:p w14:paraId="708D6603" w14:textId="77777777" w:rsidR="007F3CD9" w:rsidRPr="007F3CD9" w:rsidRDefault="007F3CD9">
            <w:pPr>
              <w:rPr>
                <w:b/>
              </w:rPr>
            </w:pPr>
            <w:r w:rsidRPr="007F3CD9">
              <w:rPr>
                <w:b/>
              </w:rPr>
              <w:t>Awarding body</w:t>
            </w:r>
          </w:p>
        </w:tc>
        <w:tc>
          <w:tcPr>
            <w:tcW w:w="7730" w:type="dxa"/>
          </w:tcPr>
          <w:p w14:paraId="7B8F8496" w14:textId="77777777" w:rsidR="007F3CD9" w:rsidRDefault="007F3CD9"/>
        </w:tc>
      </w:tr>
      <w:tr w:rsidR="007F3CD9" w14:paraId="2999C842" w14:textId="77777777" w:rsidTr="00873281">
        <w:trPr>
          <w:trHeight w:val="444"/>
        </w:trPr>
        <w:tc>
          <w:tcPr>
            <w:tcW w:w="1512" w:type="dxa"/>
            <w:shd w:val="clear" w:color="auto" w:fill="DEEAF6" w:themeFill="accent1" w:themeFillTint="33"/>
          </w:tcPr>
          <w:p w14:paraId="2E0782E6" w14:textId="77777777" w:rsidR="007F3CD9" w:rsidRPr="007F3CD9" w:rsidRDefault="007F3CD9">
            <w:pPr>
              <w:rPr>
                <w:b/>
              </w:rPr>
            </w:pPr>
            <w:r w:rsidRPr="007F3CD9">
              <w:rPr>
                <w:b/>
              </w:rPr>
              <w:t>Number of studentships</w:t>
            </w:r>
          </w:p>
        </w:tc>
        <w:tc>
          <w:tcPr>
            <w:tcW w:w="7730" w:type="dxa"/>
          </w:tcPr>
          <w:p w14:paraId="71356CBF" w14:textId="77777777" w:rsidR="007F3CD9" w:rsidRDefault="007F3CD9"/>
        </w:tc>
      </w:tr>
      <w:tr w:rsidR="007F3CD9" w14:paraId="068F1321" w14:textId="77777777" w:rsidTr="00873281">
        <w:trPr>
          <w:trHeight w:val="1412"/>
        </w:trPr>
        <w:tc>
          <w:tcPr>
            <w:tcW w:w="1512" w:type="dxa"/>
            <w:shd w:val="clear" w:color="auto" w:fill="DEEAF6" w:themeFill="accent1" w:themeFillTint="33"/>
          </w:tcPr>
          <w:p w14:paraId="0BA462F9" w14:textId="77777777" w:rsidR="007F3CD9" w:rsidRPr="007F3CD9" w:rsidRDefault="00695F66">
            <w:pPr>
              <w:rPr>
                <w:b/>
              </w:rPr>
            </w:pPr>
            <w:r>
              <w:rPr>
                <w:b/>
              </w:rPr>
              <w:t>*</w:t>
            </w:r>
            <w:r w:rsidR="007F3CD9" w:rsidRPr="007F3CD9">
              <w:rPr>
                <w:b/>
              </w:rPr>
              <w:t xml:space="preserve">Summary </w:t>
            </w:r>
            <w:r w:rsidR="00270CA4">
              <w:rPr>
                <w:b/>
              </w:rPr>
              <w:t xml:space="preserve">descriptive </w:t>
            </w:r>
            <w:r w:rsidR="007F3CD9" w:rsidRPr="007F3CD9">
              <w:rPr>
                <w:b/>
              </w:rPr>
              <w:t>text</w:t>
            </w:r>
            <w:r w:rsidR="00270CA4">
              <w:rPr>
                <w:b/>
              </w:rPr>
              <w:t xml:space="preserve"> / Example of research project </w:t>
            </w:r>
          </w:p>
        </w:tc>
        <w:tc>
          <w:tcPr>
            <w:tcW w:w="7730" w:type="dxa"/>
          </w:tcPr>
          <w:p w14:paraId="3C759983" w14:textId="0034D51E" w:rsidR="007F3CD9" w:rsidRDefault="0058176A" w:rsidP="003071CB">
            <w:pPr>
              <w:pStyle w:val="Body"/>
              <w:tabs>
                <w:tab w:val="left" w:pos="567"/>
                <w:tab w:val="left" w:pos="1134"/>
                <w:tab w:val="left" w:pos="1701"/>
                <w:tab w:val="left" w:pos="2268"/>
                <w:tab w:val="left" w:pos="2835"/>
                <w:tab w:val="left" w:pos="3402"/>
                <w:tab w:val="left" w:pos="3969"/>
                <w:tab w:val="left" w:pos="4535"/>
                <w:tab w:val="left" w:pos="5102"/>
                <w:tab w:val="left" w:pos="5670"/>
                <w:tab w:val="left" w:pos="8647"/>
                <w:tab w:val="left" w:pos="9071"/>
                <w:tab w:val="left" w:pos="9638"/>
                <w:tab w:val="left" w:pos="10205"/>
                <w:tab w:val="left" w:pos="10772"/>
                <w:tab w:val="left" w:pos="11339"/>
              </w:tabs>
              <w:spacing w:after="0"/>
              <w:jc w:val="both"/>
            </w:pPr>
            <w:r>
              <w:rPr>
                <w:rFonts w:ascii="Calibri" w:hAnsi="Calibri" w:cstheme="minorHAnsi"/>
                <w:sz w:val="22"/>
                <w:szCs w:val="22"/>
                <w:lang w:val="en-GB"/>
              </w:rPr>
              <w:t>A key trend in the pharmaceutical industry is currently long-acting drug delivery. Here, instead of taking tablets daily, a patient receives an injection or implant that contains weeks or months of medication. However, conventional long-acting systems are invasive, requiring skilled healthcare workers and carrying the risk of infection and problematic disposal.</w:t>
            </w:r>
            <w:r w:rsidR="00C97678">
              <w:rPr>
                <w:rFonts w:ascii="Calibri" w:hAnsi="Calibri" w:cstheme="minorHAnsi"/>
                <w:sz w:val="22"/>
                <w:szCs w:val="22"/>
                <w:lang w:val="en-GB"/>
              </w:rPr>
              <w:t xml:space="preserve"> A potential </w:t>
            </w:r>
            <w:r w:rsidR="003071CB">
              <w:rPr>
                <w:rFonts w:ascii="Calibri" w:hAnsi="Calibri" w:cstheme="minorHAnsi"/>
                <w:sz w:val="22"/>
                <w:szCs w:val="22"/>
                <w:lang w:val="en-GB"/>
              </w:rPr>
              <w:t>alternative strategy for long-acting drug delivery is based on</w:t>
            </w:r>
            <w:r w:rsidR="00C97678">
              <w:rPr>
                <w:rFonts w:ascii="Calibri" w:hAnsi="Calibri" w:cstheme="minorHAnsi"/>
                <w:sz w:val="22"/>
                <w:szCs w:val="22"/>
                <w:lang w:val="en-GB"/>
              </w:rPr>
              <w:t xml:space="preserve"> microneedle arrays. </w:t>
            </w:r>
            <w:r w:rsidR="003071CB">
              <w:rPr>
                <w:rFonts w:ascii="Calibri" w:hAnsi="Calibri" w:cstheme="minorHAnsi"/>
                <w:sz w:val="22"/>
                <w:szCs w:val="22"/>
                <w:lang w:val="en-GB"/>
              </w:rPr>
              <w:t>Microneedles</w:t>
            </w:r>
            <w:r w:rsidR="00C97678" w:rsidRPr="0058176A">
              <w:rPr>
                <w:rFonts w:ascii="Calibri" w:hAnsi="Calibri" w:cstheme="minorHAnsi"/>
                <w:sz w:val="22"/>
                <w:szCs w:val="22"/>
                <w:lang w:val="en-GB"/>
              </w:rPr>
              <w:t xml:space="preserve"> are minimally-invasive devices that painlessly, and without drawing blood, penetrate the skin’s </w:t>
            </w:r>
            <w:r w:rsidR="00C97678" w:rsidRPr="0058176A">
              <w:rPr>
                <w:rFonts w:ascii="Calibri" w:hAnsi="Calibri" w:cstheme="minorHAnsi"/>
                <w:i/>
                <w:sz w:val="22"/>
                <w:szCs w:val="22"/>
                <w:lang w:val="en-GB"/>
              </w:rPr>
              <w:t>stratum corneum</w:t>
            </w:r>
            <w:r w:rsidR="00C97678" w:rsidRPr="0058176A">
              <w:rPr>
                <w:rFonts w:ascii="Calibri" w:hAnsi="Calibri" w:cstheme="minorHAnsi"/>
                <w:sz w:val="22"/>
                <w:szCs w:val="22"/>
                <w:lang w:val="en-GB"/>
              </w:rPr>
              <w:t xml:space="preserve"> barrier. This allows delivery of a range of substances that would otherwise not be able to move into or across the skin. </w:t>
            </w:r>
            <w:r w:rsidR="00C97678">
              <w:rPr>
                <w:rFonts w:ascii="Calibri" w:hAnsi="Calibri" w:cstheme="minorHAnsi"/>
                <w:sz w:val="22"/>
                <w:szCs w:val="22"/>
                <w:lang w:val="en-GB"/>
              </w:rPr>
              <w:t>Microneedles</w:t>
            </w:r>
            <w:r w:rsidR="00C97678" w:rsidRPr="0058176A">
              <w:rPr>
                <w:rFonts w:ascii="Calibri" w:hAnsi="Calibri" w:cstheme="minorHAnsi"/>
                <w:sz w:val="22"/>
                <w:szCs w:val="22"/>
                <w:lang w:val="en-GB"/>
              </w:rPr>
              <w:t xml:space="preserve"> have found great use in intradermal </w:t>
            </w:r>
            <w:r w:rsidR="003071CB">
              <w:rPr>
                <w:rFonts w:ascii="Calibri" w:hAnsi="Calibri" w:cstheme="minorHAnsi"/>
                <w:sz w:val="22"/>
                <w:szCs w:val="22"/>
                <w:lang w:val="en-GB"/>
              </w:rPr>
              <w:t xml:space="preserve">delivery of </w:t>
            </w:r>
            <w:r w:rsidR="00C97678" w:rsidRPr="0058176A">
              <w:rPr>
                <w:rFonts w:ascii="Calibri" w:hAnsi="Calibri" w:cstheme="minorHAnsi"/>
                <w:sz w:val="22"/>
                <w:szCs w:val="22"/>
                <w:lang w:val="en-GB"/>
              </w:rPr>
              <w:t>vaccines</w:t>
            </w:r>
            <w:r w:rsidR="003071CB">
              <w:rPr>
                <w:rFonts w:ascii="Calibri" w:hAnsi="Calibri" w:cstheme="minorHAnsi"/>
                <w:sz w:val="22"/>
                <w:szCs w:val="22"/>
                <w:lang w:val="en-GB"/>
              </w:rPr>
              <w:t xml:space="preserve">. </w:t>
            </w:r>
            <w:r w:rsidR="007A256C">
              <w:rPr>
                <w:rFonts w:ascii="Calibri" w:hAnsi="Calibri" w:cstheme="minorHAnsi"/>
                <w:sz w:val="22"/>
                <w:szCs w:val="22"/>
                <w:lang w:val="en-GB"/>
              </w:rPr>
              <w:t xml:space="preserve">This project seeks to combine </w:t>
            </w:r>
            <w:r w:rsidR="003071CB">
              <w:rPr>
                <w:rFonts w:ascii="Calibri" w:hAnsi="Calibri" w:cstheme="minorHAnsi"/>
                <w:sz w:val="22"/>
                <w:szCs w:val="22"/>
                <w:lang w:val="en-GB"/>
              </w:rPr>
              <w:t>high-dose</w:t>
            </w:r>
            <w:r w:rsidR="007A256C">
              <w:rPr>
                <w:rFonts w:ascii="Calibri" w:hAnsi="Calibri" w:cstheme="minorHAnsi"/>
                <w:sz w:val="22"/>
                <w:szCs w:val="22"/>
                <w:lang w:val="en-GB"/>
              </w:rPr>
              <w:t xml:space="preserve"> implantable/long acting drug delivery systems with microneedle technology. </w:t>
            </w:r>
            <w:r>
              <w:rPr>
                <w:rFonts w:ascii="Calibri" w:hAnsi="Calibri" w:cstheme="minorHAnsi"/>
                <w:sz w:val="22"/>
                <w:szCs w:val="22"/>
                <w:lang w:val="en-GB"/>
              </w:rPr>
              <w:t>The novel microneedle systems to be developed here will take these complex therapeutics out of the formal healthcare setting and place them in the hands of patients, who will be able to self-apply the microneedle systems. In this project, the student will design and characterise long-acting microneedle systems</w:t>
            </w:r>
            <w:r w:rsidR="00827E81">
              <w:rPr>
                <w:rFonts w:ascii="Calibri" w:hAnsi="Calibri" w:cstheme="minorHAnsi"/>
                <w:sz w:val="22"/>
                <w:szCs w:val="22"/>
                <w:lang w:val="en-GB"/>
              </w:rPr>
              <w:t xml:space="preserve"> using a range of innovative techniques. </w:t>
            </w:r>
            <w:r w:rsidR="00827E81" w:rsidRPr="00827E81">
              <w:rPr>
                <w:rFonts w:ascii="Calibri" w:hAnsi="Calibri" w:cstheme="minorHAnsi"/>
                <w:sz w:val="22"/>
                <w:szCs w:val="22"/>
                <w:lang w:val="en-GB"/>
              </w:rPr>
              <w:t>The benefits to patients of the technology developed during this studentship will be profound. The student will work at the cutting edge of developme</w:t>
            </w:r>
            <w:r w:rsidR="00827E81">
              <w:rPr>
                <w:rFonts w:ascii="Calibri" w:hAnsi="Calibri" w:cstheme="minorHAnsi"/>
                <w:sz w:val="22"/>
                <w:szCs w:val="22"/>
                <w:lang w:val="en-GB"/>
              </w:rPr>
              <w:t>nts in a leading research Group, thus greatly enhancing their employability.</w:t>
            </w:r>
          </w:p>
        </w:tc>
      </w:tr>
      <w:tr w:rsidR="00695F66" w14:paraId="0E1B43CA" w14:textId="77777777" w:rsidTr="00873281">
        <w:trPr>
          <w:trHeight w:val="625"/>
        </w:trPr>
        <w:tc>
          <w:tcPr>
            <w:tcW w:w="1512" w:type="dxa"/>
            <w:shd w:val="clear" w:color="auto" w:fill="DEEAF6" w:themeFill="accent1" w:themeFillTint="33"/>
          </w:tcPr>
          <w:p w14:paraId="39DD98FA" w14:textId="77777777" w:rsidR="00695F66" w:rsidRDefault="000F6B4D">
            <w:pPr>
              <w:rPr>
                <w:b/>
              </w:rPr>
            </w:pPr>
            <w:r>
              <w:rPr>
                <w:b/>
              </w:rPr>
              <w:t>*Supervisor(s)</w:t>
            </w:r>
          </w:p>
        </w:tc>
        <w:tc>
          <w:tcPr>
            <w:tcW w:w="7730" w:type="dxa"/>
          </w:tcPr>
          <w:p w14:paraId="05428D4F" w14:textId="77777777" w:rsidR="00B4262C" w:rsidRPr="002963E1" w:rsidRDefault="00502C57" w:rsidP="00B4262C">
            <w:pPr>
              <w:rPr>
                <w:rFonts w:ascii="Calibri" w:eastAsia="Calibri" w:hAnsi="Calibri"/>
              </w:rPr>
            </w:pPr>
            <w:r>
              <w:t xml:space="preserve"> </w:t>
            </w:r>
            <w:r w:rsidR="0058176A">
              <w:t>Professor Ryan Donnelly</w:t>
            </w:r>
            <w:r w:rsidR="004A4BD6">
              <w:t xml:space="preserve"> and Dr Eneko Larraňeta</w:t>
            </w:r>
          </w:p>
          <w:p w14:paraId="6533C50C" w14:textId="77777777" w:rsidR="002963E1" w:rsidRPr="002963E1" w:rsidRDefault="002963E1">
            <w:pPr>
              <w:rPr>
                <w:rFonts w:ascii="Calibri" w:eastAsia="Calibri" w:hAnsi="Calibri"/>
              </w:rPr>
            </w:pPr>
          </w:p>
        </w:tc>
      </w:tr>
      <w:tr w:rsidR="007F3CD9" w14:paraId="6CF2C9A9" w14:textId="77777777" w:rsidTr="00873281">
        <w:trPr>
          <w:trHeight w:val="630"/>
        </w:trPr>
        <w:tc>
          <w:tcPr>
            <w:tcW w:w="1512" w:type="dxa"/>
            <w:shd w:val="clear" w:color="auto" w:fill="DEEAF6" w:themeFill="accent1" w:themeFillTint="33"/>
          </w:tcPr>
          <w:p w14:paraId="47045B79" w14:textId="77777777" w:rsidR="007F3CD9" w:rsidRPr="007F3CD9" w:rsidRDefault="00695F66">
            <w:pPr>
              <w:rPr>
                <w:b/>
              </w:rPr>
            </w:pPr>
            <w:r>
              <w:rPr>
                <w:b/>
              </w:rPr>
              <w:t>*</w:t>
            </w:r>
            <w:r w:rsidR="001B792D">
              <w:rPr>
                <w:b/>
              </w:rPr>
              <w:t xml:space="preserve">Eligibility / residence </w:t>
            </w:r>
            <w:r w:rsidR="007F3CD9">
              <w:rPr>
                <w:b/>
              </w:rPr>
              <w:t>Status</w:t>
            </w:r>
          </w:p>
        </w:tc>
        <w:tc>
          <w:tcPr>
            <w:tcW w:w="7730" w:type="dxa"/>
          </w:tcPr>
          <w:p w14:paraId="0D36088D" w14:textId="77777777" w:rsidR="007F3CD9" w:rsidRPr="007F3CD9" w:rsidRDefault="0058176A">
            <w:r>
              <w:t>UK/EU/International</w:t>
            </w:r>
          </w:p>
        </w:tc>
      </w:tr>
      <w:tr w:rsidR="007F3CD9" w14:paraId="4074D60C" w14:textId="77777777" w:rsidTr="00873281">
        <w:trPr>
          <w:trHeight w:val="630"/>
        </w:trPr>
        <w:tc>
          <w:tcPr>
            <w:tcW w:w="1512" w:type="dxa"/>
            <w:shd w:val="clear" w:color="auto" w:fill="DEEAF6" w:themeFill="accent1" w:themeFillTint="33"/>
          </w:tcPr>
          <w:p w14:paraId="392F3A54" w14:textId="77777777" w:rsidR="007F3CD9" w:rsidRDefault="00695F66">
            <w:pPr>
              <w:rPr>
                <w:b/>
              </w:rPr>
            </w:pPr>
            <w:r>
              <w:rPr>
                <w:b/>
              </w:rPr>
              <w:t>Country</w:t>
            </w:r>
          </w:p>
        </w:tc>
        <w:tc>
          <w:tcPr>
            <w:tcW w:w="7730" w:type="dxa"/>
          </w:tcPr>
          <w:p w14:paraId="63DD6B93" w14:textId="77777777" w:rsidR="007F3CD9" w:rsidRDefault="007C3A10">
            <w:r>
              <w:t>Northern Ireland</w:t>
            </w:r>
          </w:p>
        </w:tc>
      </w:tr>
      <w:tr w:rsidR="007F3CD9" w14:paraId="389303B2" w14:textId="77777777" w:rsidTr="00873281">
        <w:trPr>
          <w:trHeight w:val="630"/>
        </w:trPr>
        <w:tc>
          <w:tcPr>
            <w:tcW w:w="1512" w:type="dxa"/>
            <w:shd w:val="clear" w:color="auto" w:fill="DEEAF6" w:themeFill="accent1" w:themeFillTint="33"/>
          </w:tcPr>
          <w:p w14:paraId="5D44568F" w14:textId="77777777" w:rsidR="007F3CD9" w:rsidRDefault="00695F66">
            <w:pPr>
              <w:rPr>
                <w:b/>
              </w:rPr>
            </w:pPr>
            <w:r>
              <w:rPr>
                <w:b/>
              </w:rPr>
              <w:t>*</w:t>
            </w:r>
            <w:r w:rsidR="007F3CD9">
              <w:rPr>
                <w:b/>
              </w:rPr>
              <w:t xml:space="preserve">Start date and duration </w:t>
            </w:r>
          </w:p>
        </w:tc>
        <w:tc>
          <w:tcPr>
            <w:tcW w:w="7730" w:type="dxa"/>
          </w:tcPr>
          <w:p w14:paraId="21B9A1BD" w14:textId="557B2ACA" w:rsidR="007F3CD9" w:rsidRDefault="00B4262C" w:rsidP="007F3CD9">
            <w:r>
              <w:t xml:space="preserve">1 October </w:t>
            </w:r>
            <w:r w:rsidR="007A256C">
              <w:t>202</w:t>
            </w:r>
            <w:r w:rsidR="007617C3">
              <w:t>2</w:t>
            </w:r>
          </w:p>
          <w:p w14:paraId="697E97D0" w14:textId="77777777" w:rsidR="007F3CD9" w:rsidRDefault="007F3CD9" w:rsidP="003A76E9"/>
        </w:tc>
      </w:tr>
      <w:tr w:rsidR="007F3CD9" w14:paraId="0AA8A51E" w14:textId="77777777" w:rsidTr="00873281">
        <w:trPr>
          <w:trHeight w:val="444"/>
        </w:trPr>
        <w:tc>
          <w:tcPr>
            <w:tcW w:w="1512" w:type="dxa"/>
            <w:shd w:val="clear" w:color="auto" w:fill="DEEAF6" w:themeFill="accent1" w:themeFillTint="33"/>
          </w:tcPr>
          <w:p w14:paraId="7B01842D" w14:textId="77777777" w:rsidR="007F3CD9" w:rsidRPr="007F3CD9" w:rsidRDefault="00695F66">
            <w:pPr>
              <w:rPr>
                <w:b/>
              </w:rPr>
            </w:pPr>
            <w:r>
              <w:rPr>
                <w:b/>
              </w:rPr>
              <w:t>*</w:t>
            </w:r>
            <w:r w:rsidR="007F3CD9" w:rsidRPr="007F3CD9">
              <w:rPr>
                <w:b/>
              </w:rPr>
              <w:t>Faculty</w:t>
            </w:r>
          </w:p>
        </w:tc>
        <w:tc>
          <w:tcPr>
            <w:tcW w:w="7730" w:type="dxa"/>
          </w:tcPr>
          <w:p w14:paraId="04389B40" w14:textId="77777777" w:rsidR="007F3CD9" w:rsidRDefault="007C3A10">
            <w:r>
              <w:t>MHLS</w:t>
            </w:r>
          </w:p>
        </w:tc>
      </w:tr>
      <w:tr w:rsidR="007F3CD9" w14:paraId="252F2B0F" w14:textId="77777777" w:rsidTr="00873281">
        <w:trPr>
          <w:trHeight w:val="470"/>
        </w:trPr>
        <w:tc>
          <w:tcPr>
            <w:tcW w:w="1512" w:type="dxa"/>
            <w:shd w:val="clear" w:color="auto" w:fill="DEEAF6" w:themeFill="accent1" w:themeFillTint="33"/>
          </w:tcPr>
          <w:p w14:paraId="02D33297" w14:textId="77777777" w:rsidR="007F3CD9" w:rsidRPr="007F3CD9" w:rsidRDefault="00695F66">
            <w:pPr>
              <w:rPr>
                <w:b/>
              </w:rPr>
            </w:pPr>
            <w:r>
              <w:rPr>
                <w:b/>
              </w:rPr>
              <w:lastRenderedPageBreak/>
              <w:t>*</w:t>
            </w:r>
            <w:r w:rsidR="007F3CD9" w:rsidRPr="007F3CD9">
              <w:rPr>
                <w:b/>
              </w:rPr>
              <w:t>Research centre / School</w:t>
            </w:r>
          </w:p>
        </w:tc>
        <w:tc>
          <w:tcPr>
            <w:tcW w:w="7730" w:type="dxa"/>
          </w:tcPr>
          <w:p w14:paraId="7B48714A" w14:textId="77777777" w:rsidR="007F3CD9" w:rsidRDefault="007C3A10">
            <w:r>
              <w:t>Pharmacy</w:t>
            </w:r>
          </w:p>
        </w:tc>
      </w:tr>
      <w:tr w:rsidR="001B792D" w14:paraId="09DCA937" w14:textId="77777777" w:rsidTr="00873281">
        <w:trPr>
          <w:trHeight w:val="470"/>
        </w:trPr>
        <w:tc>
          <w:tcPr>
            <w:tcW w:w="1512" w:type="dxa"/>
            <w:shd w:val="clear" w:color="auto" w:fill="DEEAF6" w:themeFill="accent1" w:themeFillTint="33"/>
          </w:tcPr>
          <w:p w14:paraId="1D939CB8" w14:textId="77777777" w:rsidR="001B792D" w:rsidRDefault="001B792D">
            <w:pPr>
              <w:rPr>
                <w:b/>
              </w:rPr>
            </w:pPr>
            <w:r>
              <w:rPr>
                <w:b/>
              </w:rPr>
              <w:t>Subject area</w:t>
            </w:r>
          </w:p>
        </w:tc>
        <w:tc>
          <w:tcPr>
            <w:tcW w:w="7730" w:type="dxa"/>
          </w:tcPr>
          <w:p w14:paraId="42EFF026" w14:textId="77777777" w:rsidR="001B792D" w:rsidRDefault="0058176A">
            <w:r>
              <w:t>Long-acting drug delivery</w:t>
            </w:r>
          </w:p>
        </w:tc>
      </w:tr>
      <w:tr w:rsidR="007F3CD9" w14:paraId="5D9CCE80" w14:textId="77777777" w:rsidTr="00873281">
        <w:trPr>
          <w:trHeight w:val="444"/>
        </w:trPr>
        <w:tc>
          <w:tcPr>
            <w:tcW w:w="1512" w:type="dxa"/>
            <w:shd w:val="clear" w:color="auto" w:fill="DEEAF6" w:themeFill="accent1" w:themeFillTint="33"/>
          </w:tcPr>
          <w:p w14:paraId="71545A6D" w14:textId="77777777" w:rsidR="007F3CD9" w:rsidRDefault="001B792D">
            <w:pPr>
              <w:rPr>
                <w:b/>
              </w:rPr>
            </w:pPr>
            <w:r>
              <w:rPr>
                <w:b/>
              </w:rPr>
              <w:t>Candidate requirements / K</w:t>
            </w:r>
            <w:r w:rsidR="00695F66">
              <w:rPr>
                <w:b/>
              </w:rPr>
              <w:t xml:space="preserve">ey skills required for the post </w:t>
            </w:r>
          </w:p>
          <w:p w14:paraId="4C1DF152" w14:textId="77777777" w:rsidR="00695F66" w:rsidRPr="007F3CD9" w:rsidRDefault="00695F66">
            <w:pPr>
              <w:rPr>
                <w:b/>
              </w:rPr>
            </w:pPr>
          </w:p>
        </w:tc>
        <w:tc>
          <w:tcPr>
            <w:tcW w:w="7730" w:type="dxa"/>
          </w:tcPr>
          <w:p w14:paraId="33BFBC05" w14:textId="77777777" w:rsidR="007F3CD9" w:rsidRPr="007C3A10" w:rsidRDefault="007C3A10" w:rsidP="003071CB">
            <w:pPr>
              <w:jc w:val="both"/>
            </w:pPr>
            <w:r w:rsidRPr="007C3A10">
              <w:rPr>
                <w:rFonts w:cs="Arial"/>
              </w:rPr>
              <w:t>Applicants should have a 1st or 2.1 honours degree (or equivalent) in a relevant subject. Relevant subjects include Pharmacy, Molecular Biology, Pharmaceutical Sciences, Biochemistry, Biological/Biomedical Sciences,</w:t>
            </w:r>
            <w:r w:rsidR="002F06D8">
              <w:rPr>
                <w:rFonts w:cs="Arial"/>
              </w:rPr>
              <w:t xml:space="preserve"> </w:t>
            </w:r>
            <w:r w:rsidRPr="007C3A10">
              <w:rPr>
                <w:rFonts w:cs="Arial"/>
              </w:rPr>
              <w:t>Chemistry, Engineering</w:t>
            </w:r>
            <w:r w:rsidR="00E41AE4">
              <w:rPr>
                <w:rFonts w:cs="Arial"/>
              </w:rPr>
              <w:t xml:space="preserve">, or </w:t>
            </w:r>
            <w:r w:rsidRPr="007C3A10">
              <w:rPr>
                <w:rFonts w:cs="Arial"/>
              </w:rPr>
              <w:t>a closely related discipline. Students who have a 2.2 honours degree and a Master’s degree may also be considered, but the School reserves the right to shortlist for interview only those applicants who have demonstrated high academic attainment to date</w:t>
            </w:r>
          </w:p>
        </w:tc>
      </w:tr>
      <w:tr w:rsidR="007F3CD9" w14:paraId="6C042939" w14:textId="77777777" w:rsidTr="00873281">
        <w:trPr>
          <w:trHeight w:val="444"/>
        </w:trPr>
        <w:tc>
          <w:tcPr>
            <w:tcW w:w="1512" w:type="dxa"/>
            <w:shd w:val="clear" w:color="auto" w:fill="DEEAF6" w:themeFill="accent1" w:themeFillTint="33"/>
          </w:tcPr>
          <w:p w14:paraId="63AAF7AA" w14:textId="77777777" w:rsidR="007F3CD9" w:rsidRDefault="00695F66">
            <w:pPr>
              <w:rPr>
                <w:b/>
              </w:rPr>
            </w:pPr>
            <w:r>
              <w:rPr>
                <w:b/>
              </w:rPr>
              <w:t>*</w:t>
            </w:r>
            <w:r w:rsidR="007F3CD9">
              <w:rPr>
                <w:b/>
              </w:rPr>
              <w:t>Deadline for applications</w:t>
            </w:r>
          </w:p>
        </w:tc>
        <w:tc>
          <w:tcPr>
            <w:tcW w:w="7730" w:type="dxa"/>
          </w:tcPr>
          <w:p w14:paraId="30EC1591" w14:textId="77777777" w:rsidR="007F3CD9" w:rsidRDefault="007F3CD9"/>
        </w:tc>
      </w:tr>
      <w:tr w:rsidR="007F3CD9" w14:paraId="6BA29DFF" w14:textId="77777777" w:rsidTr="00873281">
        <w:trPr>
          <w:trHeight w:val="444"/>
        </w:trPr>
        <w:tc>
          <w:tcPr>
            <w:tcW w:w="1512" w:type="dxa"/>
            <w:shd w:val="clear" w:color="auto" w:fill="DEEAF6" w:themeFill="accent1" w:themeFillTint="33"/>
          </w:tcPr>
          <w:p w14:paraId="76AE6FD5" w14:textId="77777777" w:rsidR="007F3CD9" w:rsidRDefault="00695F66">
            <w:pPr>
              <w:rPr>
                <w:b/>
              </w:rPr>
            </w:pPr>
            <w:r>
              <w:rPr>
                <w:b/>
              </w:rPr>
              <w:t>*</w:t>
            </w:r>
            <w:r w:rsidR="007F3CD9">
              <w:rPr>
                <w:b/>
              </w:rPr>
              <w:t>How to apply / contacts</w:t>
            </w:r>
          </w:p>
        </w:tc>
        <w:tc>
          <w:tcPr>
            <w:tcW w:w="7730" w:type="dxa"/>
          </w:tcPr>
          <w:p w14:paraId="1D052F99" w14:textId="77777777" w:rsidR="007F3CD9" w:rsidRDefault="007F3CD9" w:rsidP="003071CB">
            <w:pPr>
              <w:jc w:val="both"/>
            </w:pPr>
            <w:r w:rsidRPr="007F3CD9">
              <w:t>Postgraduate Research applicants</w:t>
            </w:r>
            <w:r w:rsidR="007C3A10">
              <w:t xml:space="preserve"> for</w:t>
            </w:r>
            <w:r w:rsidRPr="007F3CD9">
              <w:t xml:space="preserve"> </w:t>
            </w:r>
            <w:r w:rsidR="007C3A10">
              <w:t xml:space="preserve">Pharmacy </w:t>
            </w:r>
            <w:r w:rsidRPr="007F3CD9">
              <w:t xml:space="preserve">who are interested in applying for a fully funded </w:t>
            </w:r>
            <w:r w:rsidR="007C3A10">
              <w:t>DFE</w:t>
            </w:r>
            <w:r w:rsidRPr="007F3CD9">
              <w:t xml:space="preserve"> studentship must have applied to Queen’s, via the Direct Applications Portal, and submitted all required supporting documents by the closing date, which will be announced later in the Academic year.</w:t>
            </w:r>
          </w:p>
          <w:p w14:paraId="6AFFC5BD" w14:textId="77777777" w:rsidR="007F3CD9" w:rsidRDefault="007F3CD9"/>
          <w:p w14:paraId="7151D699" w14:textId="77777777" w:rsidR="007F3CD9" w:rsidRDefault="00BB77C4">
            <w:hyperlink r:id="rId5" w:history="1">
              <w:r w:rsidR="007F3CD9" w:rsidRPr="00920649">
                <w:rPr>
                  <w:rStyle w:val="Hyperlink"/>
                </w:rPr>
                <w:t>https://dap.qub.ac.uk/portal/user/u_login.php</w:t>
              </w:r>
            </w:hyperlink>
            <w:r w:rsidR="007F3CD9">
              <w:t xml:space="preserve"> </w:t>
            </w:r>
            <w:r w:rsidR="007F3CD9">
              <w:br/>
            </w:r>
          </w:p>
        </w:tc>
      </w:tr>
      <w:tr w:rsidR="007F3CD9" w14:paraId="35ED00A3" w14:textId="77777777" w:rsidTr="00873281">
        <w:trPr>
          <w:trHeight w:val="2715"/>
        </w:trPr>
        <w:tc>
          <w:tcPr>
            <w:tcW w:w="1512" w:type="dxa"/>
            <w:shd w:val="clear" w:color="auto" w:fill="DEEAF6" w:themeFill="accent1" w:themeFillTint="33"/>
          </w:tcPr>
          <w:p w14:paraId="58942790" w14:textId="77777777" w:rsidR="007F3CD9" w:rsidRPr="007F3CD9" w:rsidRDefault="007F3CD9">
            <w:pPr>
              <w:rPr>
                <w:b/>
              </w:rPr>
            </w:pPr>
            <w:r>
              <w:rPr>
                <w:b/>
              </w:rPr>
              <w:t>Relevant</w:t>
            </w:r>
            <w:r w:rsidRPr="007F3CD9">
              <w:rPr>
                <w:b/>
              </w:rPr>
              <w:t xml:space="preserve"> links </w:t>
            </w:r>
            <w:r w:rsidR="001B792D">
              <w:rPr>
                <w:b/>
              </w:rPr>
              <w:t xml:space="preserve">/ more information </w:t>
            </w:r>
          </w:p>
          <w:p w14:paraId="46BE96C1" w14:textId="77777777" w:rsidR="007F3CD9" w:rsidRDefault="007F3CD9"/>
        </w:tc>
        <w:tc>
          <w:tcPr>
            <w:tcW w:w="7730" w:type="dxa"/>
          </w:tcPr>
          <w:p w14:paraId="18AA42FB" w14:textId="77777777" w:rsidR="007F3CD9" w:rsidRDefault="007F3CD9"/>
          <w:p w14:paraId="56D85AFE" w14:textId="77777777" w:rsidR="007F3CD9" w:rsidRDefault="00BB77C4">
            <w:hyperlink r:id="rId6" w:history="1">
              <w:r w:rsidR="007C3A10" w:rsidRPr="00810712">
                <w:rPr>
                  <w:rStyle w:val="Hyperlink"/>
                </w:rPr>
                <w:t>http://www.qub.ac.uk/schools/SchoolofPharmacy/Research/PostgraduatePositions/</w:t>
              </w:r>
            </w:hyperlink>
          </w:p>
          <w:p w14:paraId="4527AAE0" w14:textId="77777777" w:rsidR="007C3A10" w:rsidRDefault="007C3A10"/>
          <w:p w14:paraId="1DD31CBB" w14:textId="77777777" w:rsidR="007C3A10" w:rsidRDefault="00BB77C4">
            <w:pPr>
              <w:rPr>
                <w:rStyle w:val="Hyperlink"/>
              </w:rPr>
            </w:pPr>
            <w:hyperlink r:id="rId7" w:history="1">
              <w:r w:rsidR="007C3A10" w:rsidRPr="00810712">
                <w:rPr>
                  <w:rStyle w:val="Hyperlink"/>
                </w:rPr>
                <w:t>http://www.qub.ac.uk/schools/SchoolofPharmacy/Research/</w:t>
              </w:r>
            </w:hyperlink>
          </w:p>
          <w:p w14:paraId="4702051B" w14:textId="77777777" w:rsidR="00960566" w:rsidRDefault="00960566">
            <w:pPr>
              <w:rPr>
                <w:rStyle w:val="Hyperlink"/>
              </w:rPr>
            </w:pPr>
          </w:p>
          <w:p w14:paraId="338AA81D" w14:textId="77777777" w:rsidR="0058176A" w:rsidRDefault="00BB77C4" w:rsidP="0058176A">
            <w:pPr>
              <w:jc w:val="both"/>
            </w:pPr>
            <w:hyperlink r:id="rId8" w:history="1">
              <w:r w:rsidR="0058176A" w:rsidRPr="003D4C18">
                <w:rPr>
                  <w:rStyle w:val="Hyperlink"/>
                </w:rPr>
                <w:t>https://pure.qub.ac.uk/portal/en/persons/ryan-donnelly(7f46a524-c3a4-46a9-b347-834f0a3640f2).html</w:t>
              </w:r>
            </w:hyperlink>
          </w:p>
          <w:p w14:paraId="69602910" w14:textId="77777777" w:rsidR="0058176A" w:rsidRDefault="0058176A">
            <w:pPr>
              <w:rPr>
                <w:rStyle w:val="Hyperlink"/>
              </w:rPr>
            </w:pPr>
          </w:p>
          <w:p w14:paraId="2914446C" w14:textId="58F0348C" w:rsidR="00960566" w:rsidRDefault="00BB77C4" w:rsidP="00960566">
            <w:hyperlink r:id="rId9" w:history="1">
              <w:r w:rsidR="003071CB" w:rsidRPr="00A6074B">
                <w:rPr>
                  <w:rStyle w:val="Hyperlink"/>
                </w:rPr>
                <w:t>https://pure.qub.ac.uk/en/persons/eneko-larra%25C3%25B1eta</w:t>
              </w:r>
            </w:hyperlink>
          </w:p>
          <w:p w14:paraId="0991B582" w14:textId="77777777" w:rsidR="007C3A10" w:rsidRDefault="007C3A10"/>
        </w:tc>
      </w:tr>
      <w:tr w:rsidR="001B792D" w14:paraId="69CD57F0" w14:textId="77777777" w:rsidTr="00873281">
        <w:trPr>
          <w:trHeight w:val="576"/>
        </w:trPr>
        <w:tc>
          <w:tcPr>
            <w:tcW w:w="1512" w:type="dxa"/>
            <w:shd w:val="clear" w:color="auto" w:fill="DEEAF6" w:themeFill="accent1" w:themeFillTint="33"/>
          </w:tcPr>
          <w:p w14:paraId="603E40D5" w14:textId="77777777" w:rsidR="001B792D" w:rsidRDefault="001B792D">
            <w:pPr>
              <w:rPr>
                <w:b/>
              </w:rPr>
            </w:pPr>
            <w:r>
              <w:rPr>
                <w:b/>
              </w:rPr>
              <w:t>Keywords for search filters</w:t>
            </w:r>
          </w:p>
        </w:tc>
        <w:tc>
          <w:tcPr>
            <w:tcW w:w="7730" w:type="dxa"/>
          </w:tcPr>
          <w:p w14:paraId="4F4A207E" w14:textId="77777777" w:rsidR="001B792D" w:rsidRDefault="0058176A">
            <w:r>
              <w:t>Microneedles, long-acting drug delivery</w:t>
            </w:r>
          </w:p>
        </w:tc>
      </w:tr>
      <w:tr w:rsidR="001B792D" w14:paraId="138E53BC" w14:textId="77777777" w:rsidTr="00873281">
        <w:trPr>
          <w:trHeight w:val="470"/>
        </w:trPr>
        <w:tc>
          <w:tcPr>
            <w:tcW w:w="1512" w:type="dxa"/>
            <w:shd w:val="clear" w:color="auto" w:fill="DEEAF6" w:themeFill="accent1" w:themeFillTint="33"/>
          </w:tcPr>
          <w:p w14:paraId="05B38E0C" w14:textId="77777777" w:rsidR="001B792D" w:rsidRDefault="001B792D">
            <w:pPr>
              <w:rPr>
                <w:b/>
              </w:rPr>
            </w:pPr>
            <w:r>
              <w:rPr>
                <w:b/>
              </w:rPr>
              <w:t>Training provided through the research project</w:t>
            </w:r>
          </w:p>
        </w:tc>
        <w:tc>
          <w:tcPr>
            <w:tcW w:w="7730" w:type="dxa"/>
          </w:tcPr>
          <w:p w14:paraId="545D1F80" w14:textId="77777777" w:rsidR="001B792D" w:rsidRPr="0058176A" w:rsidRDefault="0058176A" w:rsidP="00B4262C">
            <w:pPr>
              <w:pStyle w:val="Body"/>
              <w:tabs>
                <w:tab w:val="left" w:pos="567"/>
                <w:tab w:val="left" w:pos="1134"/>
                <w:tab w:val="left" w:pos="1701"/>
                <w:tab w:val="left" w:pos="2268"/>
                <w:tab w:val="left" w:pos="2835"/>
                <w:tab w:val="left" w:pos="3402"/>
                <w:tab w:val="left" w:pos="3969"/>
                <w:tab w:val="left" w:pos="4535"/>
                <w:tab w:val="left" w:pos="5102"/>
                <w:tab w:val="left" w:pos="5670"/>
                <w:tab w:val="left" w:pos="8647"/>
                <w:tab w:val="left" w:pos="9071"/>
                <w:tab w:val="left" w:pos="9638"/>
                <w:tab w:val="left" w:pos="10205"/>
                <w:tab w:val="left" w:pos="10772"/>
                <w:tab w:val="left" w:pos="11339"/>
              </w:tabs>
              <w:spacing w:after="0"/>
              <w:jc w:val="both"/>
              <w:rPr>
                <w:rFonts w:asciiTheme="minorHAnsi" w:hAnsiTheme="minorHAnsi"/>
                <w:sz w:val="22"/>
                <w:szCs w:val="22"/>
              </w:rPr>
            </w:pPr>
            <w:r w:rsidRPr="0058176A">
              <w:rPr>
                <w:rFonts w:asciiTheme="minorHAnsi" w:hAnsiTheme="minorHAnsi"/>
                <w:sz w:val="22"/>
                <w:szCs w:val="22"/>
                <w:lang w:val="en-GB"/>
              </w:rPr>
              <w:t>This interdisciplinary project will provide training in a range of analytical methods, design</w:t>
            </w:r>
            <w:r w:rsidR="006E7B37">
              <w:rPr>
                <w:rFonts w:asciiTheme="minorHAnsi" w:hAnsiTheme="minorHAnsi"/>
                <w:sz w:val="22"/>
                <w:szCs w:val="22"/>
                <w:lang w:val="en-GB"/>
              </w:rPr>
              <w:t>, manufacture</w:t>
            </w:r>
            <w:r w:rsidRPr="0058176A">
              <w:rPr>
                <w:rFonts w:asciiTheme="minorHAnsi" w:hAnsiTheme="minorHAnsi"/>
                <w:sz w:val="22"/>
                <w:szCs w:val="22"/>
                <w:lang w:val="en-GB"/>
              </w:rPr>
              <w:t xml:space="preserve"> and assessment of novel delivery systems and biological models for assessment of the potential clinical efficacy of formulations. Furthermore, student training will take place within a highly active international research culture. In addition to laboratory based-skills, the student will also undergo training in research methodology and statistics and will have opportunities to develop both verbal and written communication skills.</w:t>
            </w:r>
            <w:r>
              <w:rPr>
                <w:rFonts w:asciiTheme="minorHAnsi" w:hAnsiTheme="minorHAnsi"/>
                <w:sz w:val="22"/>
                <w:szCs w:val="22"/>
                <w:lang w:val="en-GB"/>
              </w:rPr>
              <w:t xml:space="preserve"> The student will publish their research in journal articles and present at both national and international conferences. The student will also have the opportunity to actively participate in a range of outreach activities in the community and gain teaching experience on our undergraduate and postgraduate courses.</w:t>
            </w:r>
          </w:p>
        </w:tc>
      </w:tr>
      <w:tr w:rsidR="001B792D" w14:paraId="00E8C303" w14:textId="77777777" w:rsidTr="00873281">
        <w:trPr>
          <w:trHeight w:val="470"/>
        </w:trPr>
        <w:tc>
          <w:tcPr>
            <w:tcW w:w="1512" w:type="dxa"/>
            <w:shd w:val="clear" w:color="auto" w:fill="DEEAF6" w:themeFill="accent1" w:themeFillTint="33"/>
          </w:tcPr>
          <w:p w14:paraId="562F0BCB" w14:textId="77777777" w:rsidR="001B792D" w:rsidRDefault="001B792D">
            <w:pPr>
              <w:rPr>
                <w:b/>
              </w:rPr>
            </w:pPr>
            <w:r>
              <w:rPr>
                <w:b/>
              </w:rPr>
              <w:t>Expected impact activities</w:t>
            </w:r>
          </w:p>
        </w:tc>
        <w:tc>
          <w:tcPr>
            <w:tcW w:w="7730" w:type="dxa"/>
          </w:tcPr>
          <w:p w14:paraId="65E442EF" w14:textId="77777777" w:rsidR="001B792D" w:rsidRPr="0058176A" w:rsidRDefault="0058176A" w:rsidP="003071CB">
            <w:pPr>
              <w:pStyle w:val="Header"/>
              <w:tabs>
                <w:tab w:val="clear" w:pos="4153"/>
                <w:tab w:val="clear" w:pos="8306"/>
                <w:tab w:val="left" w:pos="720"/>
              </w:tabs>
              <w:ind w:right="-135"/>
              <w:jc w:val="both"/>
              <w:rPr>
                <w:rFonts w:asciiTheme="minorHAnsi" w:hAnsiTheme="minorHAnsi"/>
                <w:sz w:val="22"/>
                <w:szCs w:val="22"/>
              </w:rPr>
            </w:pPr>
            <w:r w:rsidRPr="0058176A">
              <w:rPr>
                <w:rFonts w:asciiTheme="minorHAnsi" w:hAnsiTheme="minorHAnsi"/>
                <w:sz w:val="22"/>
                <w:szCs w:val="22"/>
              </w:rPr>
              <w:t xml:space="preserve">Enhanced patient care and quality of life, economic development for the pharmaceutical and medical devices industry. </w:t>
            </w:r>
            <w:r>
              <w:rPr>
                <w:rFonts w:asciiTheme="minorHAnsi" w:hAnsiTheme="minorHAnsi"/>
                <w:sz w:val="22"/>
                <w:szCs w:val="22"/>
              </w:rPr>
              <w:t>The student’s CV will be enhanced through training with a leading international Group</w:t>
            </w:r>
          </w:p>
        </w:tc>
      </w:tr>
    </w:tbl>
    <w:p w14:paraId="7C8E0B0D" w14:textId="77777777" w:rsidR="00375356" w:rsidRDefault="00375356"/>
    <w:sectPr w:rsidR="003753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B85528"/>
    <w:multiLevelType w:val="hybridMultilevel"/>
    <w:tmpl w:val="5FF83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CD9"/>
    <w:rsid w:val="00001543"/>
    <w:rsid w:val="00002F77"/>
    <w:rsid w:val="000140E0"/>
    <w:rsid w:val="00017B3A"/>
    <w:rsid w:val="000211E7"/>
    <w:rsid w:val="00036AC1"/>
    <w:rsid w:val="0006730B"/>
    <w:rsid w:val="00074FC2"/>
    <w:rsid w:val="00076683"/>
    <w:rsid w:val="0008106D"/>
    <w:rsid w:val="00087903"/>
    <w:rsid w:val="00093ED6"/>
    <w:rsid w:val="000976C2"/>
    <w:rsid w:val="000B5232"/>
    <w:rsid w:val="000B5533"/>
    <w:rsid w:val="000C6238"/>
    <w:rsid w:val="000D526E"/>
    <w:rsid w:val="000F0B0E"/>
    <w:rsid w:val="000F380D"/>
    <w:rsid w:val="000F550F"/>
    <w:rsid w:val="000F6B4D"/>
    <w:rsid w:val="000F6C8E"/>
    <w:rsid w:val="00100C14"/>
    <w:rsid w:val="00114809"/>
    <w:rsid w:val="001215F1"/>
    <w:rsid w:val="00125BB4"/>
    <w:rsid w:val="00127B6D"/>
    <w:rsid w:val="0013226E"/>
    <w:rsid w:val="00136716"/>
    <w:rsid w:val="00136A7C"/>
    <w:rsid w:val="0014119A"/>
    <w:rsid w:val="00147201"/>
    <w:rsid w:val="00152845"/>
    <w:rsid w:val="00152DAA"/>
    <w:rsid w:val="00152DD3"/>
    <w:rsid w:val="00157E70"/>
    <w:rsid w:val="001757EF"/>
    <w:rsid w:val="001865C3"/>
    <w:rsid w:val="00190974"/>
    <w:rsid w:val="001976E1"/>
    <w:rsid w:val="001B35A8"/>
    <w:rsid w:val="001B56F1"/>
    <w:rsid w:val="001B7418"/>
    <w:rsid w:val="001B792D"/>
    <w:rsid w:val="001B7A47"/>
    <w:rsid w:val="001C09BA"/>
    <w:rsid w:val="001C15E7"/>
    <w:rsid w:val="001C36D8"/>
    <w:rsid w:val="001C59A2"/>
    <w:rsid w:val="001C6CFE"/>
    <w:rsid w:val="001D5A77"/>
    <w:rsid w:val="001E0C79"/>
    <w:rsid w:val="001E10DB"/>
    <w:rsid w:val="001E6AE7"/>
    <w:rsid w:val="001F273F"/>
    <w:rsid w:val="001F700A"/>
    <w:rsid w:val="0020192E"/>
    <w:rsid w:val="0020699C"/>
    <w:rsid w:val="00211ADC"/>
    <w:rsid w:val="0023305E"/>
    <w:rsid w:val="00234A97"/>
    <w:rsid w:val="002438AA"/>
    <w:rsid w:val="0024565D"/>
    <w:rsid w:val="002663D0"/>
    <w:rsid w:val="002679A5"/>
    <w:rsid w:val="00270CA4"/>
    <w:rsid w:val="00275E36"/>
    <w:rsid w:val="00276A24"/>
    <w:rsid w:val="00286380"/>
    <w:rsid w:val="00287196"/>
    <w:rsid w:val="002963E1"/>
    <w:rsid w:val="002A0180"/>
    <w:rsid w:val="002A22B2"/>
    <w:rsid w:val="002A6F4F"/>
    <w:rsid w:val="002B644E"/>
    <w:rsid w:val="002B6455"/>
    <w:rsid w:val="002E0374"/>
    <w:rsid w:val="002E6701"/>
    <w:rsid w:val="002F06D8"/>
    <w:rsid w:val="002F38B4"/>
    <w:rsid w:val="002F3D8F"/>
    <w:rsid w:val="00300B77"/>
    <w:rsid w:val="00303DAB"/>
    <w:rsid w:val="003071CB"/>
    <w:rsid w:val="00312241"/>
    <w:rsid w:val="00315F1B"/>
    <w:rsid w:val="00322E90"/>
    <w:rsid w:val="0034159F"/>
    <w:rsid w:val="003418CF"/>
    <w:rsid w:val="00342E0B"/>
    <w:rsid w:val="003437FB"/>
    <w:rsid w:val="00346EA7"/>
    <w:rsid w:val="00347872"/>
    <w:rsid w:val="00353B81"/>
    <w:rsid w:val="0037391E"/>
    <w:rsid w:val="00374800"/>
    <w:rsid w:val="00375356"/>
    <w:rsid w:val="00381594"/>
    <w:rsid w:val="003862E4"/>
    <w:rsid w:val="00396B87"/>
    <w:rsid w:val="003A2015"/>
    <w:rsid w:val="003A233A"/>
    <w:rsid w:val="003A50B5"/>
    <w:rsid w:val="003A76E9"/>
    <w:rsid w:val="003B22CC"/>
    <w:rsid w:val="003B6BB5"/>
    <w:rsid w:val="003C0DD9"/>
    <w:rsid w:val="003C14F2"/>
    <w:rsid w:val="003D1166"/>
    <w:rsid w:val="003E3D1A"/>
    <w:rsid w:val="003E4D9E"/>
    <w:rsid w:val="003F5DA8"/>
    <w:rsid w:val="003F716D"/>
    <w:rsid w:val="00403319"/>
    <w:rsid w:val="0040602C"/>
    <w:rsid w:val="00407ED6"/>
    <w:rsid w:val="00420A13"/>
    <w:rsid w:val="0043514D"/>
    <w:rsid w:val="00437BE9"/>
    <w:rsid w:val="00452039"/>
    <w:rsid w:val="004658F1"/>
    <w:rsid w:val="0047023E"/>
    <w:rsid w:val="0047276F"/>
    <w:rsid w:val="00480978"/>
    <w:rsid w:val="00480D4A"/>
    <w:rsid w:val="0048607D"/>
    <w:rsid w:val="004874AA"/>
    <w:rsid w:val="004A4702"/>
    <w:rsid w:val="004A4BD6"/>
    <w:rsid w:val="004C36C5"/>
    <w:rsid w:val="004C4456"/>
    <w:rsid w:val="004C5821"/>
    <w:rsid w:val="004C6CB4"/>
    <w:rsid w:val="004D2EF5"/>
    <w:rsid w:val="004D7242"/>
    <w:rsid w:val="004E5754"/>
    <w:rsid w:val="004E57B7"/>
    <w:rsid w:val="004F4713"/>
    <w:rsid w:val="004F57F3"/>
    <w:rsid w:val="00502C57"/>
    <w:rsid w:val="00507600"/>
    <w:rsid w:val="00527250"/>
    <w:rsid w:val="0053253B"/>
    <w:rsid w:val="0053628D"/>
    <w:rsid w:val="00541A46"/>
    <w:rsid w:val="00550AAE"/>
    <w:rsid w:val="00553AB1"/>
    <w:rsid w:val="00567EBE"/>
    <w:rsid w:val="0058176A"/>
    <w:rsid w:val="0058648B"/>
    <w:rsid w:val="005A4DBD"/>
    <w:rsid w:val="005B1A39"/>
    <w:rsid w:val="005B5E39"/>
    <w:rsid w:val="005B7F83"/>
    <w:rsid w:val="005D1843"/>
    <w:rsid w:val="005D4DF9"/>
    <w:rsid w:val="005E19CD"/>
    <w:rsid w:val="005F2741"/>
    <w:rsid w:val="005F301D"/>
    <w:rsid w:val="00636529"/>
    <w:rsid w:val="00636A02"/>
    <w:rsid w:val="0064028D"/>
    <w:rsid w:val="00640638"/>
    <w:rsid w:val="0064387C"/>
    <w:rsid w:val="00656476"/>
    <w:rsid w:val="00657EC8"/>
    <w:rsid w:val="00663A1A"/>
    <w:rsid w:val="006815A5"/>
    <w:rsid w:val="00695F66"/>
    <w:rsid w:val="006977CC"/>
    <w:rsid w:val="006B2D8B"/>
    <w:rsid w:val="006B5E92"/>
    <w:rsid w:val="006C2131"/>
    <w:rsid w:val="006C5676"/>
    <w:rsid w:val="006C60CA"/>
    <w:rsid w:val="006C7069"/>
    <w:rsid w:val="006C778B"/>
    <w:rsid w:val="006D1994"/>
    <w:rsid w:val="006E4E27"/>
    <w:rsid w:val="006E7B37"/>
    <w:rsid w:val="006F6EA4"/>
    <w:rsid w:val="00703E40"/>
    <w:rsid w:val="00704886"/>
    <w:rsid w:val="00720F2B"/>
    <w:rsid w:val="00727F85"/>
    <w:rsid w:val="007347D4"/>
    <w:rsid w:val="0075794A"/>
    <w:rsid w:val="00757A63"/>
    <w:rsid w:val="007617C3"/>
    <w:rsid w:val="007627E0"/>
    <w:rsid w:val="0076752E"/>
    <w:rsid w:val="0077082C"/>
    <w:rsid w:val="00771690"/>
    <w:rsid w:val="00771E79"/>
    <w:rsid w:val="0077245E"/>
    <w:rsid w:val="00776188"/>
    <w:rsid w:val="00781A8B"/>
    <w:rsid w:val="00781ED6"/>
    <w:rsid w:val="00793FA5"/>
    <w:rsid w:val="007A256C"/>
    <w:rsid w:val="007B185B"/>
    <w:rsid w:val="007B1FB4"/>
    <w:rsid w:val="007B2C32"/>
    <w:rsid w:val="007B515E"/>
    <w:rsid w:val="007B5CF8"/>
    <w:rsid w:val="007B6E4A"/>
    <w:rsid w:val="007C3A10"/>
    <w:rsid w:val="007D2A36"/>
    <w:rsid w:val="007E0D0E"/>
    <w:rsid w:val="007E6E7C"/>
    <w:rsid w:val="007F3B9F"/>
    <w:rsid w:val="007F3CD9"/>
    <w:rsid w:val="007F7C74"/>
    <w:rsid w:val="008022E0"/>
    <w:rsid w:val="0081399F"/>
    <w:rsid w:val="00821CE6"/>
    <w:rsid w:val="00823089"/>
    <w:rsid w:val="00827E81"/>
    <w:rsid w:val="00835A1C"/>
    <w:rsid w:val="00836A05"/>
    <w:rsid w:val="0085153F"/>
    <w:rsid w:val="00854482"/>
    <w:rsid w:val="0085462F"/>
    <w:rsid w:val="00862594"/>
    <w:rsid w:val="0087029C"/>
    <w:rsid w:val="00873281"/>
    <w:rsid w:val="00880D9A"/>
    <w:rsid w:val="0088290A"/>
    <w:rsid w:val="00884B0B"/>
    <w:rsid w:val="0088648A"/>
    <w:rsid w:val="0089003B"/>
    <w:rsid w:val="00890EB8"/>
    <w:rsid w:val="008937DE"/>
    <w:rsid w:val="00893C50"/>
    <w:rsid w:val="00897BAA"/>
    <w:rsid w:val="008A002F"/>
    <w:rsid w:val="008C083D"/>
    <w:rsid w:val="008F1C24"/>
    <w:rsid w:val="00925FA3"/>
    <w:rsid w:val="009279B9"/>
    <w:rsid w:val="009453CE"/>
    <w:rsid w:val="0095334C"/>
    <w:rsid w:val="00956BE2"/>
    <w:rsid w:val="00957551"/>
    <w:rsid w:val="00960566"/>
    <w:rsid w:val="00981E1C"/>
    <w:rsid w:val="00982267"/>
    <w:rsid w:val="00982CC7"/>
    <w:rsid w:val="00991636"/>
    <w:rsid w:val="00993573"/>
    <w:rsid w:val="00996932"/>
    <w:rsid w:val="009B03F1"/>
    <w:rsid w:val="009B569A"/>
    <w:rsid w:val="009D2BCC"/>
    <w:rsid w:val="009D483E"/>
    <w:rsid w:val="009D4AE3"/>
    <w:rsid w:val="009F0F1A"/>
    <w:rsid w:val="009F4EDF"/>
    <w:rsid w:val="00A0196B"/>
    <w:rsid w:val="00A05C2D"/>
    <w:rsid w:val="00A131B2"/>
    <w:rsid w:val="00A14FEA"/>
    <w:rsid w:val="00A24586"/>
    <w:rsid w:val="00A2502A"/>
    <w:rsid w:val="00A30D12"/>
    <w:rsid w:val="00A3441A"/>
    <w:rsid w:val="00A354B3"/>
    <w:rsid w:val="00A404C0"/>
    <w:rsid w:val="00A4488B"/>
    <w:rsid w:val="00A51E47"/>
    <w:rsid w:val="00A768A4"/>
    <w:rsid w:val="00A907D7"/>
    <w:rsid w:val="00A90948"/>
    <w:rsid w:val="00A946F0"/>
    <w:rsid w:val="00AA53C1"/>
    <w:rsid w:val="00AB4CB5"/>
    <w:rsid w:val="00AB72A5"/>
    <w:rsid w:val="00AB76CD"/>
    <w:rsid w:val="00AC07AE"/>
    <w:rsid w:val="00AC1FE9"/>
    <w:rsid w:val="00AD429E"/>
    <w:rsid w:val="00AD6DB6"/>
    <w:rsid w:val="00AE15FE"/>
    <w:rsid w:val="00AF2C9B"/>
    <w:rsid w:val="00AF3133"/>
    <w:rsid w:val="00B030A3"/>
    <w:rsid w:val="00B07BDF"/>
    <w:rsid w:val="00B1507C"/>
    <w:rsid w:val="00B160F9"/>
    <w:rsid w:val="00B16E01"/>
    <w:rsid w:val="00B21B3C"/>
    <w:rsid w:val="00B27846"/>
    <w:rsid w:val="00B359EF"/>
    <w:rsid w:val="00B363F2"/>
    <w:rsid w:val="00B40805"/>
    <w:rsid w:val="00B40C54"/>
    <w:rsid w:val="00B4262C"/>
    <w:rsid w:val="00B42F58"/>
    <w:rsid w:val="00B44FF9"/>
    <w:rsid w:val="00B47154"/>
    <w:rsid w:val="00B50BAC"/>
    <w:rsid w:val="00B55E28"/>
    <w:rsid w:val="00B6354C"/>
    <w:rsid w:val="00B703CE"/>
    <w:rsid w:val="00BA71ED"/>
    <w:rsid w:val="00BB6F08"/>
    <w:rsid w:val="00BB77C4"/>
    <w:rsid w:val="00BC2944"/>
    <w:rsid w:val="00BE346B"/>
    <w:rsid w:val="00BF08BD"/>
    <w:rsid w:val="00BF17EC"/>
    <w:rsid w:val="00BF4B26"/>
    <w:rsid w:val="00BF57DC"/>
    <w:rsid w:val="00C12418"/>
    <w:rsid w:val="00C2183A"/>
    <w:rsid w:val="00C263B0"/>
    <w:rsid w:val="00C31A8A"/>
    <w:rsid w:val="00C3441B"/>
    <w:rsid w:val="00C428CF"/>
    <w:rsid w:val="00C50D2D"/>
    <w:rsid w:val="00C519E9"/>
    <w:rsid w:val="00C57CF9"/>
    <w:rsid w:val="00C6334C"/>
    <w:rsid w:val="00C66B4F"/>
    <w:rsid w:val="00C7500B"/>
    <w:rsid w:val="00C861B6"/>
    <w:rsid w:val="00C876DB"/>
    <w:rsid w:val="00C912B9"/>
    <w:rsid w:val="00C938C4"/>
    <w:rsid w:val="00C97678"/>
    <w:rsid w:val="00CA2E64"/>
    <w:rsid w:val="00CA3E08"/>
    <w:rsid w:val="00CA70D8"/>
    <w:rsid w:val="00CB3D31"/>
    <w:rsid w:val="00CC767D"/>
    <w:rsid w:val="00CD4D50"/>
    <w:rsid w:val="00CE1429"/>
    <w:rsid w:val="00CE50BE"/>
    <w:rsid w:val="00CE6CFB"/>
    <w:rsid w:val="00D00807"/>
    <w:rsid w:val="00D0311E"/>
    <w:rsid w:val="00D113D5"/>
    <w:rsid w:val="00D11B48"/>
    <w:rsid w:val="00D1708D"/>
    <w:rsid w:val="00D23483"/>
    <w:rsid w:val="00D31D29"/>
    <w:rsid w:val="00D367BF"/>
    <w:rsid w:val="00D5030D"/>
    <w:rsid w:val="00D5690F"/>
    <w:rsid w:val="00D57854"/>
    <w:rsid w:val="00D64E36"/>
    <w:rsid w:val="00D804A3"/>
    <w:rsid w:val="00D80D41"/>
    <w:rsid w:val="00D82FEF"/>
    <w:rsid w:val="00D91A1F"/>
    <w:rsid w:val="00DA3F99"/>
    <w:rsid w:val="00DB009E"/>
    <w:rsid w:val="00DB437C"/>
    <w:rsid w:val="00DB450E"/>
    <w:rsid w:val="00DB709B"/>
    <w:rsid w:val="00DC5B83"/>
    <w:rsid w:val="00DD1D77"/>
    <w:rsid w:val="00DD6932"/>
    <w:rsid w:val="00DF148B"/>
    <w:rsid w:val="00E11BB2"/>
    <w:rsid w:val="00E166B5"/>
    <w:rsid w:val="00E177D8"/>
    <w:rsid w:val="00E2148C"/>
    <w:rsid w:val="00E27D11"/>
    <w:rsid w:val="00E35E2D"/>
    <w:rsid w:val="00E36870"/>
    <w:rsid w:val="00E41AE4"/>
    <w:rsid w:val="00E44D18"/>
    <w:rsid w:val="00E455CC"/>
    <w:rsid w:val="00E471FE"/>
    <w:rsid w:val="00E5373D"/>
    <w:rsid w:val="00E55956"/>
    <w:rsid w:val="00E618A6"/>
    <w:rsid w:val="00E62BE0"/>
    <w:rsid w:val="00E720D9"/>
    <w:rsid w:val="00E721FA"/>
    <w:rsid w:val="00E731E0"/>
    <w:rsid w:val="00E76C26"/>
    <w:rsid w:val="00EA02F6"/>
    <w:rsid w:val="00EA0D01"/>
    <w:rsid w:val="00EA70C2"/>
    <w:rsid w:val="00EC4DE0"/>
    <w:rsid w:val="00EC505E"/>
    <w:rsid w:val="00ED21A7"/>
    <w:rsid w:val="00ED5C21"/>
    <w:rsid w:val="00EE11D1"/>
    <w:rsid w:val="00EE14CB"/>
    <w:rsid w:val="00EE3B21"/>
    <w:rsid w:val="00EE5C5D"/>
    <w:rsid w:val="00EE693D"/>
    <w:rsid w:val="00EF23A4"/>
    <w:rsid w:val="00EF271B"/>
    <w:rsid w:val="00F1151C"/>
    <w:rsid w:val="00F2645B"/>
    <w:rsid w:val="00F276FA"/>
    <w:rsid w:val="00F333AB"/>
    <w:rsid w:val="00F376E8"/>
    <w:rsid w:val="00F45400"/>
    <w:rsid w:val="00F52902"/>
    <w:rsid w:val="00F53AD2"/>
    <w:rsid w:val="00F61002"/>
    <w:rsid w:val="00F74680"/>
    <w:rsid w:val="00F76DAC"/>
    <w:rsid w:val="00F81886"/>
    <w:rsid w:val="00F82BDB"/>
    <w:rsid w:val="00F848EA"/>
    <w:rsid w:val="00F90DB4"/>
    <w:rsid w:val="00FB3233"/>
    <w:rsid w:val="00FB6942"/>
    <w:rsid w:val="00FC08F5"/>
    <w:rsid w:val="00FC2092"/>
    <w:rsid w:val="00FC4575"/>
    <w:rsid w:val="00FD37C6"/>
    <w:rsid w:val="00FD72DC"/>
    <w:rsid w:val="00FE66B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8E383E"/>
  <w15:docId w15:val="{B8791B8A-7F24-3943-9643-47704035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3C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3C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F3CD9"/>
    <w:rPr>
      <w:color w:val="0563C1" w:themeColor="hyperlink"/>
      <w:u w:val="single"/>
    </w:rPr>
  </w:style>
  <w:style w:type="character" w:customStyle="1" w:styleId="Heading1Char">
    <w:name w:val="Heading 1 Char"/>
    <w:basedOn w:val="DefaultParagraphFont"/>
    <w:link w:val="Heading1"/>
    <w:uiPriority w:val="9"/>
    <w:rsid w:val="007F3CD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695F66"/>
    <w:pPr>
      <w:ind w:left="720"/>
      <w:contextualSpacing/>
    </w:pPr>
  </w:style>
  <w:style w:type="paragraph" w:styleId="BalloonText">
    <w:name w:val="Balloon Text"/>
    <w:basedOn w:val="Normal"/>
    <w:link w:val="BalloonTextChar"/>
    <w:uiPriority w:val="99"/>
    <w:semiHidden/>
    <w:unhideWhenUsed/>
    <w:rsid w:val="00BA71E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71ED"/>
    <w:rPr>
      <w:rFonts w:ascii="Lucida Grande" w:hAnsi="Lucida Grande" w:cs="Lucida Grande"/>
      <w:sz w:val="18"/>
      <w:szCs w:val="18"/>
    </w:rPr>
  </w:style>
  <w:style w:type="character" w:styleId="FollowedHyperlink">
    <w:name w:val="FollowedHyperlink"/>
    <w:basedOn w:val="DefaultParagraphFont"/>
    <w:uiPriority w:val="99"/>
    <w:semiHidden/>
    <w:unhideWhenUsed/>
    <w:rsid w:val="00E41AE4"/>
    <w:rPr>
      <w:color w:val="954F72" w:themeColor="followedHyperlink"/>
      <w:u w:val="single"/>
    </w:rPr>
  </w:style>
  <w:style w:type="character" w:styleId="CommentReference">
    <w:name w:val="annotation reference"/>
    <w:basedOn w:val="DefaultParagraphFont"/>
    <w:uiPriority w:val="99"/>
    <w:semiHidden/>
    <w:unhideWhenUsed/>
    <w:rsid w:val="002963E1"/>
    <w:rPr>
      <w:sz w:val="18"/>
      <w:szCs w:val="18"/>
    </w:rPr>
  </w:style>
  <w:style w:type="paragraph" w:styleId="CommentText">
    <w:name w:val="annotation text"/>
    <w:basedOn w:val="Normal"/>
    <w:link w:val="CommentTextChar"/>
    <w:uiPriority w:val="99"/>
    <w:semiHidden/>
    <w:unhideWhenUsed/>
    <w:rsid w:val="002963E1"/>
    <w:pPr>
      <w:spacing w:after="0" w:line="240" w:lineRule="auto"/>
    </w:pPr>
    <w:rPr>
      <w:rFonts w:ascii="Arial" w:eastAsia="Times New Roman" w:hAnsi="Arial" w:cs="Times New Roman"/>
      <w:sz w:val="24"/>
      <w:szCs w:val="24"/>
    </w:rPr>
  </w:style>
  <w:style w:type="character" w:customStyle="1" w:styleId="CommentTextChar">
    <w:name w:val="Comment Text Char"/>
    <w:basedOn w:val="DefaultParagraphFont"/>
    <w:link w:val="CommentText"/>
    <w:uiPriority w:val="99"/>
    <w:semiHidden/>
    <w:rsid w:val="002963E1"/>
    <w:rPr>
      <w:rFonts w:ascii="Arial" w:eastAsia="Times New Roman" w:hAnsi="Arial" w:cs="Times New Roman"/>
      <w:sz w:val="24"/>
      <w:szCs w:val="24"/>
    </w:rPr>
  </w:style>
  <w:style w:type="paragraph" w:styleId="Header">
    <w:name w:val="header"/>
    <w:basedOn w:val="Normal"/>
    <w:link w:val="HeaderChar"/>
    <w:rsid w:val="002963E1"/>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2963E1"/>
    <w:rPr>
      <w:rFonts w:ascii="Times New Roman" w:eastAsia="Times New Roman" w:hAnsi="Times New Roman" w:cs="Times New Roman"/>
      <w:sz w:val="20"/>
      <w:szCs w:val="20"/>
    </w:rPr>
  </w:style>
  <w:style w:type="paragraph" w:customStyle="1" w:styleId="Body">
    <w:name w:val="Body"/>
    <w:rsid w:val="002963E1"/>
    <w:pPr>
      <w:spacing w:after="240" w:line="240" w:lineRule="auto"/>
    </w:pPr>
    <w:rPr>
      <w:rFonts w:ascii="Helvetica" w:eastAsia="ヒラギノ角ゴ Pro W3" w:hAnsi="Helvetica" w:cs="Times New Roman"/>
      <w:color w:val="000000"/>
      <w:sz w:val="24"/>
      <w:szCs w:val="20"/>
      <w:lang w:val="en-US"/>
    </w:rPr>
  </w:style>
  <w:style w:type="paragraph" w:styleId="CommentSubject">
    <w:name w:val="annotation subject"/>
    <w:basedOn w:val="CommentText"/>
    <w:next w:val="CommentText"/>
    <w:link w:val="CommentSubjectChar"/>
    <w:uiPriority w:val="99"/>
    <w:semiHidden/>
    <w:unhideWhenUsed/>
    <w:rsid w:val="007A256C"/>
    <w:pPr>
      <w:spacing w:after="160"/>
    </w:pPr>
    <w:rPr>
      <w:rFonts w:asciiTheme="minorHAnsi" w:eastAsia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7A256C"/>
    <w:rPr>
      <w:rFonts w:ascii="Arial" w:eastAsia="Times New Roman" w:hAnsi="Arial" w:cs="Times New Roman"/>
      <w:b/>
      <w:bCs/>
      <w:sz w:val="20"/>
      <w:szCs w:val="20"/>
    </w:rPr>
  </w:style>
  <w:style w:type="paragraph" w:customStyle="1" w:styleId="paragraph">
    <w:name w:val="paragraph"/>
    <w:basedOn w:val="Normal"/>
    <w:rsid w:val="00BB77C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B77C4"/>
  </w:style>
  <w:style w:type="character" w:customStyle="1" w:styleId="eop">
    <w:name w:val="eop"/>
    <w:basedOn w:val="DefaultParagraphFont"/>
    <w:rsid w:val="00BB77C4"/>
  </w:style>
  <w:style w:type="character" w:styleId="Strong">
    <w:name w:val="Strong"/>
    <w:basedOn w:val="DefaultParagraphFont"/>
    <w:uiPriority w:val="22"/>
    <w:qFormat/>
    <w:rsid w:val="00BB77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79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re.qub.ac.uk/portal/en/persons/ryan-donnelly(7f46a524-c3a4-46a9-b347-834f0a3640f2).html" TargetMode="External"/><Relationship Id="rId3" Type="http://schemas.openxmlformats.org/officeDocument/2006/relationships/settings" Target="settings.xml"/><Relationship Id="rId7" Type="http://schemas.openxmlformats.org/officeDocument/2006/relationships/hyperlink" Target="http://www.qub.ac.uk/schools/SchoolofPharmacy/Resear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qub.ac.uk/schools/SchoolofPharmacy/Research/PostgraduatePositions/" TargetMode="External"/><Relationship Id="rId11" Type="http://schemas.openxmlformats.org/officeDocument/2006/relationships/theme" Target="theme/theme1.xml"/><Relationship Id="rId5" Type="http://schemas.openxmlformats.org/officeDocument/2006/relationships/hyperlink" Target="https://dap.qub.ac.uk/portal/user/u_login.php"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ure.qub.ac.uk/en/persons/eneko-larra%25C3%25B1e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779</Words>
  <Characters>4444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Jess</dc:creator>
  <cp:lastModifiedBy>Ross Archibald</cp:lastModifiedBy>
  <cp:revision>3</cp:revision>
  <dcterms:created xsi:type="dcterms:W3CDTF">2021-10-21T19:47:00Z</dcterms:created>
  <dcterms:modified xsi:type="dcterms:W3CDTF">2021-11-19T12:20:00Z</dcterms:modified>
</cp:coreProperties>
</file>