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BD33" w14:textId="77777777" w:rsidR="002E0374" w:rsidRDefault="007F3CD9" w:rsidP="007F3CD9">
      <w:pPr>
        <w:pStyle w:val="Heading1"/>
      </w:pPr>
      <w:r>
        <w:t>PGR Studentship Information Template</w:t>
      </w:r>
      <w:r w:rsidR="00B44FF9">
        <w:t xml:space="preserve"> 20</w:t>
      </w:r>
      <w:r w:rsidR="00B4262C">
        <w:t>20</w:t>
      </w:r>
      <w:r w:rsidR="00695F66">
        <w:t xml:space="preserve"> entry</w:t>
      </w:r>
    </w:p>
    <w:p w14:paraId="48BE2378" w14:textId="77777777" w:rsidR="007F3CD9" w:rsidRDefault="007F3CD9"/>
    <w:p w14:paraId="4163998C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Please complete the template with as much information as possible. </w:t>
      </w:r>
    </w:p>
    <w:p w14:paraId="2506595E" w14:textId="77777777" w:rsidR="001976E1" w:rsidRDefault="00695F66" w:rsidP="00695F66">
      <w:pPr>
        <w:pStyle w:val="ListParagraph"/>
        <w:numPr>
          <w:ilvl w:val="0"/>
          <w:numId w:val="1"/>
        </w:numPr>
      </w:pPr>
      <w:r>
        <w:t>*fields are essential.</w:t>
      </w:r>
    </w:p>
    <w:p w14:paraId="7F9F25E3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If you have information that does not have a </w:t>
      </w:r>
      <w:r w:rsidR="00BA71ED">
        <w:t>l</w:t>
      </w:r>
      <w:r w:rsidR="00957551">
        <w:t>abel</w:t>
      </w:r>
      <w:r>
        <w:t xml:space="preserve">, please create a new row in the table for it. </w:t>
      </w:r>
    </w:p>
    <w:p w14:paraId="177D8541" w14:textId="77777777" w:rsidR="001976E1" w:rsidRDefault="001976E1"/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14:paraId="6BC6B401" w14:textId="77777777" w:rsidTr="00950B00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456DD7F8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 w:rsidRPr="007F3CD9">
              <w:rPr>
                <w:b/>
              </w:rPr>
              <w:t>Title of studentship</w:t>
            </w:r>
          </w:p>
        </w:tc>
        <w:tc>
          <w:tcPr>
            <w:tcW w:w="7789" w:type="dxa"/>
          </w:tcPr>
          <w:p w14:paraId="22031844" w14:textId="4E011E3D" w:rsidR="007F3CD9" w:rsidRDefault="00203A71" w:rsidP="00211ADC">
            <w:r w:rsidRPr="00203A71">
              <w:t xml:space="preserve">Microfluidics for </w:t>
            </w:r>
            <w:r>
              <w:t xml:space="preserve">the </w:t>
            </w:r>
            <w:r w:rsidRPr="00203A71">
              <w:t>delivery</w:t>
            </w:r>
            <w:r>
              <w:t xml:space="preserve"> of drugs and biologics</w:t>
            </w:r>
          </w:p>
        </w:tc>
      </w:tr>
      <w:tr w:rsidR="007F3CD9" w14:paraId="15C7D8FB" w14:textId="77777777" w:rsidTr="00950B00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40F47942" w14:textId="77777777" w:rsidR="007F3CD9" w:rsidRPr="007F3CD9" w:rsidRDefault="007F3CD9">
            <w:pPr>
              <w:rPr>
                <w:b/>
              </w:rPr>
            </w:pPr>
            <w:r w:rsidRPr="007F3CD9">
              <w:rPr>
                <w:b/>
              </w:rPr>
              <w:t>Value</w:t>
            </w:r>
            <w:r w:rsidR="000F380D">
              <w:rPr>
                <w:b/>
              </w:rPr>
              <w:t xml:space="preserve"> / what is covered? </w:t>
            </w:r>
          </w:p>
        </w:tc>
        <w:tc>
          <w:tcPr>
            <w:tcW w:w="7789" w:type="dxa"/>
          </w:tcPr>
          <w:p w14:paraId="67CEF7C9" w14:textId="77777777" w:rsidR="00182446" w:rsidRDefault="00182446" w:rsidP="001824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Fully funded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04B702" w14:textId="77777777" w:rsidR="00182446" w:rsidRDefault="00182446" w:rsidP="001824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ED8B29" w14:textId="77777777" w:rsidR="00182446" w:rsidRDefault="00182446" w:rsidP="001824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100% of UK/EU tuition fees paid and an annual stipend for UK residents only (living expenses), currently 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at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£15,285</w:t>
            </w:r>
          </w:p>
          <w:p w14:paraId="7DDCAC38" w14:textId="77777777" w:rsidR="007C3A10" w:rsidRDefault="007C3A10" w:rsidP="00B4262C"/>
        </w:tc>
      </w:tr>
      <w:tr w:rsidR="007F3CD9" w14:paraId="1D572DA4" w14:textId="77777777" w:rsidTr="00950B00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2EDBD9BF" w14:textId="77777777" w:rsidR="007F3CD9" w:rsidRPr="007F3CD9" w:rsidRDefault="007F3CD9">
            <w:pPr>
              <w:rPr>
                <w:b/>
              </w:rPr>
            </w:pPr>
            <w:r w:rsidRPr="007F3CD9">
              <w:rPr>
                <w:b/>
              </w:rPr>
              <w:t>Awarding body</w:t>
            </w:r>
          </w:p>
        </w:tc>
        <w:tc>
          <w:tcPr>
            <w:tcW w:w="7789" w:type="dxa"/>
          </w:tcPr>
          <w:p w14:paraId="433D2F95" w14:textId="77777777" w:rsidR="007F3CD9" w:rsidRDefault="007F3CD9"/>
        </w:tc>
      </w:tr>
      <w:tr w:rsidR="007F3CD9" w14:paraId="6D226C21" w14:textId="77777777" w:rsidTr="00950B00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47E9D22" w14:textId="77777777" w:rsidR="007F3CD9" w:rsidRPr="007F3CD9" w:rsidRDefault="007F3CD9">
            <w:pPr>
              <w:rPr>
                <w:b/>
              </w:rPr>
            </w:pPr>
            <w:r w:rsidRPr="007F3CD9">
              <w:rPr>
                <w:b/>
              </w:rPr>
              <w:t>Number of studentships</w:t>
            </w:r>
          </w:p>
        </w:tc>
        <w:tc>
          <w:tcPr>
            <w:tcW w:w="7789" w:type="dxa"/>
          </w:tcPr>
          <w:p w14:paraId="785EEFCC" w14:textId="77777777" w:rsidR="007F3CD9" w:rsidRDefault="007F3CD9"/>
        </w:tc>
      </w:tr>
      <w:tr w:rsidR="007F3CD9" w14:paraId="209FEC45" w14:textId="77777777" w:rsidTr="00151544">
        <w:trPr>
          <w:trHeight w:val="7930"/>
        </w:trPr>
        <w:tc>
          <w:tcPr>
            <w:tcW w:w="1522" w:type="dxa"/>
            <w:shd w:val="clear" w:color="auto" w:fill="DEEAF6" w:themeFill="accent1" w:themeFillTint="33"/>
          </w:tcPr>
          <w:p w14:paraId="5C9B141D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 w:rsidRPr="007F3CD9">
              <w:rPr>
                <w:b/>
              </w:rPr>
              <w:t xml:space="preserve">Summary </w:t>
            </w:r>
            <w:r w:rsidR="00270CA4">
              <w:rPr>
                <w:b/>
              </w:rPr>
              <w:t xml:space="preserve">descriptive </w:t>
            </w:r>
            <w:r w:rsidR="007F3CD9" w:rsidRPr="007F3CD9">
              <w:rPr>
                <w:b/>
              </w:rPr>
              <w:t>text</w:t>
            </w:r>
            <w:r w:rsidR="00270CA4">
              <w:rPr>
                <w:b/>
              </w:rPr>
              <w:t xml:space="preserve"> / Example of research project </w:t>
            </w:r>
          </w:p>
        </w:tc>
        <w:tc>
          <w:tcPr>
            <w:tcW w:w="7789" w:type="dxa"/>
          </w:tcPr>
          <w:p w14:paraId="658F06ED" w14:textId="42CA8F7E" w:rsidR="00890573" w:rsidRPr="00D51DF9" w:rsidRDefault="00890573" w:rsidP="008905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51DF9">
              <w:rPr>
                <w:rFonts w:ascii="Calibri" w:hAnsi="Calibri" w:cstheme="minorHAnsi"/>
                <w:sz w:val="22"/>
                <w:szCs w:val="22"/>
              </w:rPr>
              <w:t xml:space="preserve">Progress in drug design has led to the development of new </w:t>
            </w:r>
            <w:r w:rsidR="00B769FE">
              <w:rPr>
                <w:rFonts w:ascii="Calibri" w:hAnsi="Calibri" w:cstheme="minorHAnsi"/>
                <w:sz w:val="22"/>
                <w:szCs w:val="22"/>
              </w:rPr>
              <w:t>molecules</w:t>
            </w:r>
            <w:r w:rsidRPr="00D51DF9">
              <w:rPr>
                <w:rFonts w:ascii="Calibri" w:hAnsi="Calibri" w:cstheme="minorHAnsi"/>
                <w:sz w:val="22"/>
                <w:szCs w:val="22"/>
              </w:rPr>
              <w:t>. However, the limited ability to selectively deliver these molecules at well-defined dosing regimens remains a significant challenge. Therefore, the development of effective therapies relies on the development of effective carriers that are nontoxic, able to carry a significant payload of the molecule, with high accuracy, and which allow combination therapeutic platforms.</w:t>
            </w:r>
          </w:p>
          <w:p w14:paraId="584C118A" w14:textId="7949C90D" w:rsidR="00890573" w:rsidRPr="00D51DF9" w:rsidRDefault="00890573" w:rsidP="008905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  <w:p w14:paraId="4928902E" w14:textId="38C4D19A" w:rsidR="00D51DF9" w:rsidRDefault="001F1653" w:rsidP="00950B0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In the </w:t>
            </w:r>
            <w:r w:rsidRPr="001F1653">
              <w:rPr>
                <w:rFonts w:ascii="Calibri" w:hAnsi="Calibri" w:cstheme="minorHAnsi"/>
                <w:sz w:val="22"/>
                <w:szCs w:val="22"/>
              </w:rPr>
              <w:t>last two decades Nanomedicines (NMs) are being explored for their potentials in treatment of numerous diseases and especially for cancer.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896722">
              <w:rPr>
                <w:rFonts w:ascii="Calibri" w:hAnsi="Calibri" w:cstheme="minorHAnsi"/>
                <w:sz w:val="22"/>
                <w:szCs w:val="22"/>
              </w:rPr>
              <w:t>T</w:t>
            </w:r>
            <w:r w:rsidR="00896722" w:rsidRPr="00896722">
              <w:rPr>
                <w:rFonts w:ascii="Calibri" w:hAnsi="Calibri" w:cstheme="minorHAnsi"/>
                <w:sz w:val="22"/>
                <w:szCs w:val="22"/>
              </w:rPr>
              <w:t xml:space="preserve">he market for </w:t>
            </w:r>
            <w:proofErr w:type="spellStart"/>
            <w:r w:rsidR="00896722" w:rsidRPr="00896722">
              <w:rPr>
                <w:rFonts w:ascii="Calibri" w:hAnsi="Calibri" w:cstheme="minorHAnsi"/>
                <w:sz w:val="22"/>
                <w:szCs w:val="22"/>
              </w:rPr>
              <w:t>nanoformulated</w:t>
            </w:r>
            <w:proofErr w:type="spellEnd"/>
            <w:r w:rsidR="00896722" w:rsidRPr="00896722">
              <w:rPr>
                <w:rFonts w:ascii="Calibri" w:hAnsi="Calibri" w:cstheme="minorHAnsi"/>
                <w:sz w:val="22"/>
                <w:szCs w:val="22"/>
              </w:rPr>
              <w:t xml:space="preserve"> medicines is growing at a significant rate, with an estimated market value of $15.8 billion in 2014 and forecasted growth to $44.5 billion by 2019. The outcomes of the project have the potential to confer significant benefits for future medicines development. </w:t>
            </w:r>
          </w:p>
          <w:p w14:paraId="0EB2E3E8" w14:textId="77777777" w:rsidR="00896722" w:rsidRDefault="00896722" w:rsidP="00950B0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  <w:p w14:paraId="0182AAB9" w14:textId="3268A289" w:rsidR="001F1653" w:rsidRDefault="00BF78EE" w:rsidP="00950B0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F78EE">
              <w:rPr>
                <w:rFonts w:ascii="Calibri" w:hAnsi="Calibri" w:cstheme="minorHAnsi"/>
                <w:sz w:val="22"/>
                <w:szCs w:val="22"/>
              </w:rPr>
              <w:t xml:space="preserve">The aim of this project is to develop nanoparticles (NPs) by microfluidics that contain </w:t>
            </w:r>
            <w:r w:rsidR="00B769FE">
              <w:rPr>
                <w:rFonts w:ascii="Calibri" w:hAnsi="Calibri" w:cstheme="minorHAnsi"/>
                <w:sz w:val="22"/>
                <w:szCs w:val="22"/>
              </w:rPr>
              <w:t xml:space="preserve">biologic molecules which will be provided by </w:t>
            </w:r>
            <w:r w:rsidR="00872904">
              <w:rPr>
                <w:rFonts w:ascii="Calibri" w:hAnsi="Calibri" w:cstheme="minorHAnsi"/>
                <w:sz w:val="22"/>
                <w:szCs w:val="22"/>
              </w:rPr>
              <w:t>our</w:t>
            </w:r>
            <w:r w:rsidR="00B769FE">
              <w:rPr>
                <w:rFonts w:ascii="Calibri" w:hAnsi="Calibri" w:cstheme="minorHAnsi"/>
                <w:sz w:val="22"/>
                <w:szCs w:val="22"/>
              </w:rPr>
              <w:t xml:space="preserve"> industrial </w:t>
            </w:r>
            <w:r w:rsidR="00872904">
              <w:rPr>
                <w:rFonts w:ascii="Calibri" w:hAnsi="Calibri" w:cstheme="minorHAnsi"/>
                <w:sz w:val="22"/>
                <w:szCs w:val="22"/>
              </w:rPr>
              <w:t>partner</w:t>
            </w:r>
            <w:r w:rsidR="00B769FE">
              <w:rPr>
                <w:rFonts w:ascii="Calibri" w:hAnsi="Calibri" w:cstheme="minorHAnsi"/>
                <w:sz w:val="22"/>
                <w:szCs w:val="22"/>
              </w:rPr>
              <w:t>.</w:t>
            </w:r>
            <w:r w:rsidR="001F1653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1F1653" w:rsidRPr="001F1653">
              <w:rPr>
                <w:rFonts w:ascii="Calibri" w:hAnsi="Calibri" w:cstheme="minorHAnsi"/>
                <w:sz w:val="22"/>
                <w:szCs w:val="22"/>
              </w:rPr>
              <w:t>Microfluidics is a technique which deals with flow of fluids within micron sized channels. It provides a platform where these NMs can be synthesized in a controlled manner enabling to tune their size, charge, polydispersity, and other surface fictionalization properties.</w:t>
            </w:r>
            <w:r w:rsidR="001F1653">
              <w:t xml:space="preserve"> </w:t>
            </w:r>
            <w:r w:rsidR="00151544">
              <w:rPr>
                <w:rFonts w:ascii="Calibri" w:hAnsi="Calibri" w:cstheme="minorHAnsi"/>
                <w:sz w:val="22"/>
                <w:szCs w:val="22"/>
              </w:rPr>
              <w:t>In addition</w:t>
            </w:r>
            <w:r w:rsidR="001F1653" w:rsidRPr="001F1653">
              <w:rPr>
                <w:rFonts w:ascii="Calibri" w:hAnsi="Calibri" w:cstheme="minorHAnsi"/>
                <w:sz w:val="22"/>
                <w:szCs w:val="22"/>
              </w:rPr>
              <w:t xml:space="preserve">, the technique is energetically economical, easier to use, comparatively cheaper and faster, and also </w:t>
            </w:r>
            <w:r w:rsidR="00C47BCC">
              <w:rPr>
                <w:rFonts w:ascii="Calibri" w:hAnsi="Calibri" w:cstheme="minorHAnsi"/>
                <w:sz w:val="22"/>
                <w:szCs w:val="22"/>
              </w:rPr>
              <w:t xml:space="preserve">the </w:t>
            </w:r>
            <w:r w:rsidR="00151544">
              <w:rPr>
                <w:rFonts w:ascii="Calibri" w:hAnsi="Calibri" w:cstheme="minorHAnsi"/>
                <w:sz w:val="22"/>
                <w:szCs w:val="22"/>
              </w:rPr>
              <w:t>molecules</w:t>
            </w:r>
            <w:r w:rsidR="001F1653" w:rsidRPr="001F1653">
              <w:rPr>
                <w:rFonts w:ascii="Calibri" w:hAnsi="Calibri" w:cstheme="minorHAnsi"/>
                <w:sz w:val="22"/>
                <w:szCs w:val="22"/>
              </w:rPr>
              <w:t xml:space="preserve"> which hasn’t been incorporated in the particles</w:t>
            </w:r>
            <w:r w:rsidR="00C47BCC">
              <w:rPr>
                <w:rFonts w:ascii="Calibri" w:hAnsi="Calibri" w:cstheme="minorHAnsi"/>
                <w:sz w:val="22"/>
                <w:szCs w:val="22"/>
              </w:rPr>
              <w:t xml:space="preserve"> can be reused.</w:t>
            </w:r>
          </w:p>
          <w:p w14:paraId="53E817EA" w14:textId="3919475C" w:rsidR="00BF78EE" w:rsidRDefault="00BF78EE" w:rsidP="00950B0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  <w:highlight w:val="yellow"/>
              </w:rPr>
            </w:pPr>
          </w:p>
          <w:p w14:paraId="78500431" w14:textId="77777777" w:rsidR="00950B00" w:rsidRPr="0032288E" w:rsidRDefault="00950B00" w:rsidP="00950B0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32288E">
              <w:rPr>
                <w:rFonts w:ascii="Calibri" w:hAnsi="Calibri" w:cstheme="minorHAnsi"/>
                <w:sz w:val="22"/>
                <w:szCs w:val="22"/>
              </w:rPr>
              <w:t>The specific objectives of this work are as follows:</w:t>
            </w:r>
          </w:p>
          <w:p w14:paraId="227A3773" w14:textId="372AB78F" w:rsidR="00B769FE" w:rsidRDefault="00B769FE" w:rsidP="00B769FE">
            <w:pPr>
              <w:pStyle w:val="Body"/>
              <w:numPr>
                <w:ilvl w:val="0"/>
                <w:numId w:val="3"/>
              </w:num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ind w:left="493" w:hanging="426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769FE">
              <w:rPr>
                <w:rFonts w:ascii="Calibri" w:hAnsi="Calibri" w:cstheme="minorHAnsi"/>
                <w:sz w:val="22"/>
                <w:szCs w:val="22"/>
              </w:rPr>
              <w:t>Optimization and Synthesis of polymeric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&amp; lipid</w:t>
            </w:r>
            <w:r w:rsidRPr="00B769FE">
              <w:rPr>
                <w:rFonts w:ascii="Calibri" w:hAnsi="Calibri" w:cstheme="minorHAnsi"/>
                <w:sz w:val="22"/>
                <w:szCs w:val="22"/>
              </w:rPr>
              <w:t xml:space="preserve"> nanomedicines</w:t>
            </w:r>
            <w:r w:rsidR="00872904">
              <w:rPr>
                <w:rFonts w:ascii="Calibri" w:hAnsi="Calibri" w:cstheme="minorHAnsi"/>
                <w:sz w:val="22"/>
                <w:szCs w:val="22"/>
              </w:rPr>
              <w:t xml:space="preserve"> containing biopharmaceutical molecule</w:t>
            </w:r>
            <w:r w:rsidR="001F1653">
              <w:rPr>
                <w:rFonts w:ascii="Calibri" w:hAnsi="Calibri" w:cstheme="minorHAnsi"/>
                <w:sz w:val="22"/>
                <w:szCs w:val="22"/>
              </w:rPr>
              <w:t>(s)</w:t>
            </w:r>
            <w:r>
              <w:rPr>
                <w:rFonts w:ascii="Calibri" w:hAnsi="Calibri" w:cstheme="minorHAnsi"/>
                <w:sz w:val="22"/>
                <w:szCs w:val="22"/>
              </w:rPr>
              <w:t>.</w:t>
            </w:r>
            <w:r w:rsidRPr="00B769F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  <w:p w14:paraId="5A52E8BF" w14:textId="2F405AEB" w:rsidR="00B769FE" w:rsidRDefault="00872904" w:rsidP="00B769FE">
            <w:pPr>
              <w:pStyle w:val="Body"/>
              <w:numPr>
                <w:ilvl w:val="0"/>
                <w:numId w:val="3"/>
              </w:num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ind w:left="493" w:hanging="426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P</w:t>
            </w:r>
            <w:r w:rsidR="0032288E" w:rsidRPr="00B769FE">
              <w:rPr>
                <w:rFonts w:ascii="Calibri" w:hAnsi="Calibri" w:cstheme="minorHAnsi"/>
                <w:sz w:val="22"/>
                <w:szCs w:val="22"/>
              </w:rPr>
              <w:t xml:space="preserve">hysicochemical characterization of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the </w:t>
            </w:r>
            <w:r w:rsidR="0032288E" w:rsidRPr="00B769FE">
              <w:rPr>
                <w:rFonts w:ascii="Calibri" w:hAnsi="Calibri" w:cstheme="minorHAnsi"/>
                <w:sz w:val="22"/>
                <w:szCs w:val="22"/>
              </w:rPr>
              <w:t>NPs.</w:t>
            </w:r>
          </w:p>
          <w:p w14:paraId="65595F8A" w14:textId="01147F6E" w:rsidR="00B769FE" w:rsidRDefault="0032288E" w:rsidP="00B769FE">
            <w:pPr>
              <w:pStyle w:val="Body"/>
              <w:numPr>
                <w:ilvl w:val="0"/>
                <w:numId w:val="3"/>
              </w:num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ind w:left="493" w:hanging="426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32288E">
              <w:rPr>
                <w:rFonts w:ascii="Calibri" w:hAnsi="Calibri" w:cstheme="minorHAnsi"/>
                <w:sz w:val="22"/>
                <w:szCs w:val="22"/>
              </w:rPr>
              <w:t xml:space="preserve">Dose and time kinetics of </w:t>
            </w:r>
            <w:r w:rsidR="00872904">
              <w:rPr>
                <w:rFonts w:ascii="Calibri" w:hAnsi="Calibri" w:cstheme="minorHAnsi"/>
                <w:sz w:val="22"/>
                <w:szCs w:val="22"/>
              </w:rPr>
              <w:t xml:space="preserve">the </w:t>
            </w:r>
            <w:r w:rsidRPr="0032288E">
              <w:rPr>
                <w:rFonts w:ascii="Calibri" w:hAnsi="Calibri" w:cstheme="minorHAnsi"/>
                <w:sz w:val="22"/>
                <w:szCs w:val="22"/>
              </w:rPr>
              <w:t xml:space="preserve">NPs </w:t>
            </w:r>
            <w:r w:rsidRPr="0032288E">
              <w:rPr>
                <w:rFonts w:ascii="Calibri" w:hAnsi="Calibri" w:cstheme="minorHAnsi"/>
                <w:i/>
                <w:iCs/>
                <w:sz w:val="22"/>
                <w:szCs w:val="22"/>
              </w:rPr>
              <w:t>in vitro</w:t>
            </w:r>
            <w:r w:rsidRPr="0032288E">
              <w:rPr>
                <w:rFonts w:ascii="Calibri" w:hAnsi="Calibri" w:cstheme="minorHAnsi"/>
                <w:sz w:val="22"/>
                <w:szCs w:val="22"/>
              </w:rPr>
              <w:t>.</w:t>
            </w:r>
          </w:p>
          <w:p w14:paraId="445F8C8E" w14:textId="20165FB6" w:rsidR="0032288E" w:rsidRDefault="0032288E" w:rsidP="00151544">
            <w:pPr>
              <w:pStyle w:val="Body"/>
              <w:numPr>
                <w:ilvl w:val="0"/>
                <w:numId w:val="3"/>
              </w:num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ind w:left="493" w:hanging="426"/>
              <w:jc w:val="both"/>
            </w:pPr>
            <w:r w:rsidRPr="0032288E">
              <w:rPr>
                <w:rFonts w:ascii="Calibri" w:hAnsi="Calibri" w:cstheme="minorHAnsi"/>
                <w:sz w:val="22"/>
                <w:szCs w:val="22"/>
              </w:rPr>
              <w:t>Biophysics</w:t>
            </w:r>
            <w:r w:rsidR="00F36C48">
              <w:rPr>
                <w:rFonts w:ascii="Calibri" w:hAnsi="Calibri" w:cstheme="minorHAnsi"/>
                <w:sz w:val="22"/>
                <w:szCs w:val="22"/>
              </w:rPr>
              <w:t xml:space="preserve"> (</w:t>
            </w:r>
            <w:r w:rsidR="00F36C48" w:rsidRPr="00F36C48">
              <w:rPr>
                <w:rFonts w:ascii="Calibri" w:hAnsi="Calibri" w:cstheme="minorHAnsi"/>
                <w:sz w:val="22"/>
                <w:szCs w:val="22"/>
              </w:rPr>
              <w:t>simulation studies</w:t>
            </w:r>
            <w:r w:rsidR="00F36C48">
              <w:rPr>
                <w:rFonts w:ascii="Calibri" w:hAnsi="Calibri" w:cstheme="minorHAnsi"/>
                <w:sz w:val="22"/>
                <w:szCs w:val="22"/>
              </w:rPr>
              <w:t>)</w:t>
            </w:r>
            <w:r w:rsidRPr="0032288E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</w:tr>
      <w:tr w:rsidR="00695F66" w:rsidRPr="00182446" w14:paraId="5028682F" w14:textId="77777777" w:rsidTr="00151544">
        <w:trPr>
          <w:trHeight w:val="416"/>
        </w:trPr>
        <w:tc>
          <w:tcPr>
            <w:tcW w:w="1522" w:type="dxa"/>
            <w:shd w:val="clear" w:color="auto" w:fill="DEEAF6" w:themeFill="accent1" w:themeFillTint="33"/>
          </w:tcPr>
          <w:p w14:paraId="3237CDE3" w14:textId="77777777" w:rsidR="00695F66" w:rsidRDefault="000F6B4D">
            <w:pPr>
              <w:rPr>
                <w:b/>
              </w:rPr>
            </w:pPr>
            <w:r>
              <w:rPr>
                <w:b/>
              </w:rPr>
              <w:lastRenderedPageBreak/>
              <w:t>*Supervisor(s)</w:t>
            </w:r>
          </w:p>
        </w:tc>
        <w:tc>
          <w:tcPr>
            <w:tcW w:w="7789" w:type="dxa"/>
          </w:tcPr>
          <w:p w14:paraId="00DD984D" w14:textId="69985101" w:rsidR="00151544" w:rsidRPr="00203A71" w:rsidRDefault="00950B00" w:rsidP="00151544">
            <w:pPr>
              <w:rPr>
                <w:lang w:val="fr-FR"/>
              </w:rPr>
            </w:pPr>
            <w:r w:rsidRPr="00203A71">
              <w:rPr>
                <w:lang w:val="fr-FR"/>
              </w:rPr>
              <w:t>Dr Dimitrios A. Lamprou (</w:t>
            </w:r>
            <w:hyperlink r:id="rId5" w:history="1">
              <w:r w:rsidR="00203A71" w:rsidRPr="00203A71">
                <w:rPr>
                  <w:rStyle w:val="Hyperlink"/>
                  <w:lang w:val="fr-FR"/>
                </w:rPr>
                <w:t>https://pure.qub.ac.uk/en/persons/dimitrios-lamprou</w:t>
              </w:r>
            </w:hyperlink>
            <w:r w:rsidRPr="00203A71">
              <w:rPr>
                <w:lang w:val="fr-FR"/>
              </w:rPr>
              <w:t>)</w:t>
            </w:r>
            <w:r w:rsidR="00203A71">
              <w:rPr>
                <w:lang w:val="fr-FR"/>
              </w:rPr>
              <w:t xml:space="preserve"> </w:t>
            </w:r>
          </w:p>
        </w:tc>
      </w:tr>
      <w:tr w:rsidR="007F3CD9" w14:paraId="6E76B72B" w14:textId="77777777" w:rsidTr="00950B00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3931C557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1B792D">
              <w:rPr>
                <w:b/>
              </w:rPr>
              <w:t xml:space="preserve">Eligibility / residence </w:t>
            </w:r>
            <w:r w:rsidR="007F3CD9">
              <w:rPr>
                <w:b/>
              </w:rPr>
              <w:t>Status</w:t>
            </w:r>
          </w:p>
        </w:tc>
        <w:tc>
          <w:tcPr>
            <w:tcW w:w="7789" w:type="dxa"/>
          </w:tcPr>
          <w:p w14:paraId="456C7FFC" w14:textId="77777777" w:rsidR="007F3CD9" w:rsidRPr="007F3CD9" w:rsidRDefault="007F3CD9"/>
        </w:tc>
      </w:tr>
      <w:tr w:rsidR="007F3CD9" w14:paraId="64BDAC76" w14:textId="77777777" w:rsidTr="00151544">
        <w:trPr>
          <w:trHeight w:val="379"/>
        </w:trPr>
        <w:tc>
          <w:tcPr>
            <w:tcW w:w="1522" w:type="dxa"/>
            <w:shd w:val="clear" w:color="auto" w:fill="DEEAF6" w:themeFill="accent1" w:themeFillTint="33"/>
          </w:tcPr>
          <w:p w14:paraId="5B5DD78B" w14:textId="77777777" w:rsidR="007F3CD9" w:rsidRDefault="00695F66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7789" w:type="dxa"/>
          </w:tcPr>
          <w:p w14:paraId="3A22D121" w14:textId="77777777" w:rsidR="007F3CD9" w:rsidRDefault="007C3A10">
            <w:r>
              <w:t>Northern Ireland</w:t>
            </w:r>
          </w:p>
        </w:tc>
      </w:tr>
      <w:tr w:rsidR="007F3CD9" w14:paraId="536AAFF7" w14:textId="77777777" w:rsidTr="00950B00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5B8E2406" w14:textId="77777777" w:rsid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>
              <w:rPr>
                <w:b/>
              </w:rPr>
              <w:t xml:space="preserve">Start date and duration </w:t>
            </w:r>
          </w:p>
        </w:tc>
        <w:tc>
          <w:tcPr>
            <w:tcW w:w="7789" w:type="dxa"/>
          </w:tcPr>
          <w:p w14:paraId="2CD3C649" w14:textId="5B2E8F60" w:rsidR="007F3CD9" w:rsidRDefault="00B4262C" w:rsidP="00896722">
            <w:r>
              <w:t>1 October 202</w:t>
            </w:r>
            <w:r w:rsidR="00203A71">
              <w:t>1, 3-Years</w:t>
            </w:r>
          </w:p>
        </w:tc>
      </w:tr>
      <w:tr w:rsidR="007F3CD9" w14:paraId="29BB9EB0" w14:textId="77777777" w:rsidTr="00151544">
        <w:trPr>
          <w:trHeight w:val="350"/>
        </w:trPr>
        <w:tc>
          <w:tcPr>
            <w:tcW w:w="1522" w:type="dxa"/>
            <w:shd w:val="clear" w:color="auto" w:fill="DEEAF6" w:themeFill="accent1" w:themeFillTint="33"/>
          </w:tcPr>
          <w:p w14:paraId="3EED8194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 w:rsidRPr="007F3CD9">
              <w:rPr>
                <w:b/>
              </w:rPr>
              <w:t>Faculty</w:t>
            </w:r>
          </w:p>
        </w:tc>
        <w:tc>
          <w:tcPr>
            <w:tcW w:w="7789" w:type="dxa"/>
          </w:tcPr>
          <w:p w14:paraId="3890E55B" w14:textId="77777777" w:rsidR="007F3CD9" w:rsidRDefault="007C3A10">
            <w:r>
              <w:t>MHLS</w:t>
            </w:r>
          </w:p>
        </w:tc>
      </w:tr>
      <w:tr w:rsidR="007F3CD9" w14:paraId="45C1B7EE" w14:textId="77777777" w:rsidTr="00950B00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1DC39C7B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 w:rsidRPr="007F3CD9">
              <w:rPr>
                <w:b/>
              </w:rPr>
              <w:t>Research centre / School</w:t>
            </w:r>
          </w:p>
        </w:tc>
        <w:tc>
          <w:tcPr>
            <w:tcW w:w="7789" w:type="dxa"/>
          </w:tcPr>
          <w:p w14:paraId="7456ECA7" w14:textId="77777777" w:rsidR="007F3CD9" w:rsidRDefault="007C3A10">
            <w:r>
              <w:t>Pharmacy</w:t>
            </w:r>
          </w:p>
        </w:tc>
      </w:tr>
      <w:tr w:rsidR="001B792D" w14:paraId="31C1EE3E" w14:textId="77777777" w:rsidTr="00950B00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3BA09A4" w14:textId="77777777" w:rsidR="001B792D" w:rsidRDefault="001B792D">
            <w:pPr>
              <w:rPr>
                <w:b/>
              </w:rPr>
            </w:pPr>
            <w:r>
              <w:rPr>
                <w:b/>
              </w:rPr>
              <w:t>Subject area</w:t>
            </w:r>
          </w:p>
        </w:tc>
        <w:tc>
          <w:tcPr>
            <w:tcW w:w="7789" w:type="dxa"/>
          </w:tcPr>
          <w:p w14:paraId="0310ACCD" w14:textId="70F85AF5" w:rsidR="001B792D" w:rsidRPr="00BF78EE" w:rsidRDefault="00950B00">
            <w:r w:rsidRPr="00BF78EE">
              <w:t xml:space="preserve">Pharmaceutical Technology, </w:t>
            </w:r>
            <w:r w:rsidR="00896722">
              <w:t>Biop</w:t>
            </w:r>
            <w:r w:rsidRPr="00BF78EE">
              <w:t xml:space="preserve">harmaceutics, </w:t>
            </w:r>
            <w:r w:rsidR="00BF78EE" w:rsidRPr="00BF78EE">
              <w:t>Nanomedicine</w:t>
            </w:r>
          </w:p>
        </w:tc>
      </w:tr>
      <w:tr w:rsidR="007F3CD9" w14:paraId="6F0D1883" w14:textId="77777777" w:rsidTr="00950B00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77DD9C16" w14:textId="77777777" w:rsidR="007F3CD9" w:rsidRDefault="001B792D">
            <w:pPr>
              <w:rPr>
                <w:b/>
              </w:rPr>
            </w:pPr>
            <w:r>
              <w:rPr>
                <w:b/>
              </w:rPr>
              <w:t>Candidate requirements / K</w:t>
            </w:r>
            <w:r w:rsidR="00695F66">
              <w:rPr>
                <w:b/>
              </w:rPr>
              <w:t xml:space="preserve">ey skills required for the post </w:t>
            </w:r>
          </w:p>
          <w:p w14:paraId="0BB9E77D" w14:textId="77777777" w:rsidR="00695F66" w:rsidRPr="007F3CD9" w:rsidRDefault="00695F66">
            <w:pPr>
              <w:rPr>
                <w:b/>
              </w:rPr>
            </w:pPr>
          </w:p>
        </w:tc>
        <w:tc>
          <w:tcPr>
            <w:tcW w:w="7789" w:type="dxa"/>
          </w:tcPr>
          <w:p w14:paraId="75F264AC" w14:textId="0F40D3B2" w:rsidR="007F3CD9" w:rsidRPr="007C3A10" w:rsidRDefault="007C3A10" w:rsidP="00950B00">
            <w:pPr>
              <w:jc w:val="both"/>
            </w:pPr>
            <w:r w:rsidRPr="007C3A10">
              <w:rPr>
                <w:rFonts w:cs="Arial"/>
              </w:rPr>
              <w:t>Applicants should have a 1</w:t>
            </w:r>
            <w:r w:rsidRPr="00950B00">
              <w:rPr>
                <w:rFonts w:cs="Arial"/>
                <w:vertAlign w:val="superscript"/>
              </w:rPr>
              <w:t>st</w:t>
            </w:r>
            <w:r w:rsidR="00950B00">
              <w:rPr>
                <w:rFonts w:cs="Arial"/>
              </w:rPr>
              <w:t xml:space="preserve"> </w:t>
            </w:r>
            <w:r w:rsidRPr="007C3A10">
              <w:rPr>
                <w:rFonts w:cs="Arial"/>
              </w:rPr>
              <w:t>or 2.1 honours degree (or equivalent) in a relevant subject. Relevant subjects include Pharmacy, Pharmaceutical Sciences, Biochemistry, Biological/Biomedical Sciences,</w:t>
            </w:r>
            <w:r w:rsidR="002F06D8">
              <w:rPr>
                <w:rFonts w:cs="Arial"/>
              </w:rPr>
              <w:t xml:space="preserve"> </w:t>
            </w:r>
            <w:r w:rsidRPr="007C3A10">
              <w:rPr>
                <w:rFonts w:cs="Arial"/>
              </w:rPr>
              <w:t>Chemistry, Engineering</w:t>
            </w:r>
            <w:r w:rsidR="00E41AE4">
              <w:rPr>
                <w:rFonts w:cs="Arial"/>
              </w:rPr>
              <w:t xml:space="preserve">, or </w:t>
            </w:r>
            <w:r w:rsidRPr="007C3A10">
              <w:rPr>
                <w:rFonts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</w:p>
        </w:tc>
      </w:tr>
      <w:tr w:rsidR="007F3CD9" w14:paraId="7A42DECE" w14:textId="77777777" w:rsidTr="00950B00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64724782" w14:textId="77777777" w:rsid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>
              <w:rPr>
                <w:b/>
              </w:rPr>
              <w:t>Deadline for applications</w:t>
            </w:r>
          </w:p>
        </w:tc>
        <w:tc>
          <w:tcPr>
            <w:tcW w:w="7789" w:type="dxa"/>
          </w:tcPr>
          <w:p w14:paraId="0F2E320D" w14:textId="77777777" w:rsidR="007F3CD9" w:rsidRDefault="007F3CD9"/>
        </w:tc>
      </w:tr>
      <w:tr w:rsidR="007F3CD9" w14:paraId="2B40B904" w14:textId="77777777" w:rsidTr="00950B00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726A8CFA" w14:textId="77777777" w:rsid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>
              <w:rPr>
                <w:b/>
              </w:rPr>
              <w:t>How to apply / contacts</w:t>
            </w:r>
          </w:p>
        </w:tc>
        <w:tc>
          <w:tcPr>
            <w:tcW w:w="7789" w:type="dxa"/>
          </w:tcPr>
          <w:p w14:paraId="7CAF54AB" w14:textId="77777777" w:rsidR="007F3CD9" w:rsidRDefault="007F3CD9">
            <w:r w:rsidRPr="007F3CD9">
              <w:t>Postgraduate Research applicants</w:t>
            </w:r>
            <w:r w:rsidR="007C3A10">
              <w:t xml:space="preserve"> for</w:t>
            </w:r>
            <w:r w:rsidRPr="007F3CD9">
              <w:t xml:space="preserve"> </w:t>
            </w:r>
            <w:r w:rsidR="007C3A10">
              <w:t xml:space="preserve">Pharmacy </w:t>
            </w:r>
            <w:r w:rsidRPr="007F3CD9">
              <w:t xml:space="preserve">who are interested in applying for a fully funded </w:t>
            </w:r>
            <w:r w:rsidR="007C3A10">
              <w:t>DFE</w:t>
            </w:r>
            <w:r w:rsidRPr="007F3CD9">
              <w:t xml:space="preserve"> studentship must have applied to Queen’s, via the Direct Applications Portal, and submitted all required supporting documents by the closing date, which will be announced later in the Academic year.</w:t>
            </w:r>
          </w:p>
          <w:p w14:paraId="6D501C14" w14:textId="77777777" w:rsidR="007F3CD9" w:rsidRDefault="007F3CD9"/>
          <w:p w14:paraId="35522420" w14:textId="77777777" w:rsidR="007F3CD9" w:rsidRDefault="00182446">
            <w:hyperlink r:id="rId6" w:history="1">
              <w:r w:rsidR="007F3CD9" w:rsidRPr="00920649">
                <w:rPr>
                  <w:rStyle w:val="Hyperlink"/>
                </w:rPr>
                <w:t>https://dap.qub.ac.uk/portal/user/u_login.php</w:t>
              </w:r>
            </w:hyperlink>
            <w:r w:rsidR="007F3CD9">
              <w:t xml:space="preserve"> </w:t>
            </w:r>
            <w:r w:rsidR="007F3CD9">
              <w:br/>
            </w:r>
          </w:p>
        </w:tc>
      </w:tr>
      <w:tr w:rsidR="007F3CD9" w14:paraId="19C4A847" w14:textId="77777777" w:rsidTr="00950B00">
        <w:trPr>
          <w:trHeight w:val="1079"/>
        </w:trPr>
        <w:tc>
          <w:tcPr>
            <w:tcW w:w="1522" w:type="dxa"/>
            <w:shd w:val="clear" w:color="auto" w:fill="DEEAF6" w:themeFill="accent1" w:themeFillTint="33"/>
          </w:tcPr>
          <w:p w14:paraId="6D069CAD" w14:textId="77777777" w:rsidR="007F3CD9" w:rsidRPr="007F3CD9" w:rsidRDefault="007F3CD9">
            <w:pPr>
              <w:rPr>
                <w:b/>
              </w:rPr>
            </w:pPr>
            <w:r>
              <w:rPr>
                <w:b/>
              </w:rPr>
              <w:t>Relevant</w:t>
            </w:r>
            <w:r w:rsidRPr="007F3CD9">
              <w:rPr>
                <w:b/>
              </w:rPr>
              <w:t xml:space="preserve"> links </w:t>
            </w:r>
            <w:r w:rsidR="001B792D">
              <w:rPr>
                <w:b/>
              </w:rPr>
              <w:t xml:space="preserve">/ more information </w:t>
            </w:r>
          </w:p>
          <w:p w14:paraId="31B58AF7" w14:textId="77777777" w:rsidR="007F3CD9" w:rsidRDefault="007F3CD9"/>
        </w:tc>
        <w:tc>
          <w:tcPr>
            <w:tcW w:w="7789" w:type="dxa"/>
          </w:tcPr>
          <w:p w14:paraId="1CA0F1C9" w14:textId="77777777" w:rsidR="007F3CD9" w:rsidRDefault="007F3CD9"/>
          <w:p w14:paraId="65686D81" w14:textId="77777777" w:rsidR="007F3CD9" w:rsidRDefault="00182446">
            <w:hyperlink r:id="rId7" w:history="1">
              <w:r w:rsidR="007C3A10" w:rsidRPr="00810712">
                <w:rPr>
                  <w:rStyle w:val="Hyperlink"/>
                </w:rPr>
                <w:t>http://www.qub.ac.uk/schools/SchoolofPharmacy/Research/PostgraduatePositions/</w:t>
              </w:r>
            </w:hyperlink>
          </w:p>
          <w:p w14:paraId="723DE49F" w14:textId="77777777" w:rsidR="007C3A10" w:rsidRDefault="007C3A10"/>
          <w:p w14:paraId="57D3B062" w14:textId="59C9EBEC" w:rsidR="00960566" w:rsidRPr="00950B00" w:rsidRDefault="00182446" w:rsidP="00960566">
            <w:pPr>
              <w:rPr>
                <w:color w:val="0563C1" w:themeColor="hyperlink"/>
                <w:u w:val="single"/>
              </w:rPr>
            </w:pPr>
            <w:hyperlink r:id="rId8" w:history="1">
              <w:r w:rsidR="007C3A10" w:rsidRPr="00810712">
                <w:rPr>
                  <w:rStyle w:val="Hyperlink"/>
                </w:rPr>
                <w:t>http://www.qub.ac.uk/schools/SchoolofPharmacy/Research/</w:t>
              </w:r>
            </w:hyperlink>
          </w:p>
          <w:p w14:paraId="6F22813B" w14:textId="77777777" w:rsidR="007C3A10" w:rsidRDefault="007C3A10"/>
        </w:tc>
      </w:tr>
      <w:tr w:rsidR="00950B00" w14:paraId="46DA3D1C" w14:textId="77777777" w:rsidTr="00950B00">
        <w:trPr>
          <w:trHeight w:val="576"/>
        </w:trPr>
        <w:tc>
          <w:tcPr>
            <w:tcW w:w="1522" w:type="dxa"/>
            <w:shd w:val="clear" w:color="auto" w:fill="DEEAF6" w:themeFill="accent1" w:themeFillTint="33"/>
          </w:tcPr>
          <w:p w14:paraId="28785861" w14:textId="77777777" w:rsidR="00950B00" w:rsidRDefault="00950B00" w:rsidP="00950B00">
            <w:pPr>
              <w:rPr>
                <w:b/>
              </w:rPr>
            </w:pPr>
            <w:r>
              <w:rPr>
                <w:b/>
              </w:rPr>
              <w:t>Keywords for search filters</w:t>
            </w:r>
          </w:p>
        </w:tc>
        <w:tc>
          <w:tcPr>
            <w:tcW w:w="7789" w:type="dxa"/>
          </w:tcPr>
          <w:p w14:paraId="2BE337A3" w14:textId="438EAE67" w:rsidR="00950B00" w:rsidRPr="00950B00" w:rsidRDefault="00896722" w:rsidP="00950B0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Drug Delivery, </w:t>
            </w:r>
            <w:r w:rsidR="00BF78EE" w:rsidRPr="00896722">
              <w:rPr>
                <w:rFonts w:cstheme="minorHAnsi"/>
              </w:rPr>
              <w:t xml:space="preserve">Microfluidics, </w:t>
            </w:r>
            <w:r w:rsidRPr="00896722">
              <w:rPr>
                <w:rFonts w:cstheme="minorHAnsi"/>
              </w:rPr>
              <w:t xml:space="preserve">Nanomedicine, </w:t>
            </w:r>
            <w:r>
              <w:rPr>
                <w:rFonts w:cstheme="minorHAnsi"/>
              </w:rPr>
              <w:t>Biopharmaceutics</w:t>
            </w:r>
          </w:p>
        </w:tc>
      </w:tr>
      <w:tr w:rsidR="00950B00" w14:paraId="7BE8C87D" w14:textId="77777777" w:rsidTr="00950B00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D672D4B" w14:textId="77777777" w:rsidR="00950B00" w:rsidRDefault="00950B00" w:rsidP="00950B00">
            <w:pPr>
              <w:rPr>
                <w:b/>
              </w:rPr>
            </w:pPr>
            <w:r>
              <w:rPr>
                <w:b/>
              </w:rPr>
              <w:t>Training provided through the research project</w:t>
            </w:r>
          </w:p>
        </w:tc>
        <w:tc>
          <w:tcPr>
            <w:tcW w:w="7789" w:type="dxa"/>
          </w:tcPr>
          <w:p w14:paraId="3A417315" w14:textId="45F09AE7" w:rsidR="00950B00" w:rsidRPr="00950B00" w:rsidRDefault="00950B00" w:rsidP="00950B0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B0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successful applicant will be integrated into QUB research groups of experienced researchers with access to world-leading facilities. 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>The techniques that will be used during the project cover a wide-range and include</w:t>
            </w:r>
            <w:r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: Atomic Force Microscope (AFM), Differential Scanning Calorimetry (DSC), 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Fourier-transform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nfrared (FTIR)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pectroscopy, </w:t>
            </w:r>
            <w:r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Rheology, Scanning Electron Microscope (SEM), 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ζ-Potential and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ize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>easurements</w:t>
            </w:r>
            <w:r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96722">
              <w:rPr>
                <w:rFonts w:asciiTheme="minorHAnsi" w:hAnsiTheme="minorHAnsi" w:cstheme="minorHAnsi"/>
                <w:i/>
                <w:sz w:val="22"/>
                <w:szCs w:val="22"/>
              </w:rPr>
              <w:t>In Vitro</w:t>
            </w:r>
            <w:r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 Release Studies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C114A">
              <w:t xml:space="preserve">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ll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ulture /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ytotoxicity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ssays, and </w:t>
            </w:r>
            <w:proofErr w:type="spellStart"/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>MatLab</w:t>
            </w:r>
            <w:proofErr w:type="spellEnd"/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 xml:space="preserve">imulation </w:t>
            </w:r>
            <w:r w:rsidR="004C114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96722" w:rsidRPr="00896722">
              <w:rPr>
                <w:rFonts w:asciiTheme="minorHAnsi" w:hAnsiTheme="minorHAnsi" w:cstheme="minorHAnsi"/>
                <w:sz w:val="22"/>
                <w:szCs w:val="22"/>
              </w:rPr>
              <w:t>tudies.</w:t>
            </w:r>
          </w:p>
        </w:tc>
      </w:tr>
      <w:tr w:rsidR="00950B00" w14:paraId="2ABE314A" w14:textId="77777777" w:rsidTr="00950B00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2C6057C6" w14:textId="77777777" w:rsidR="00950B00" w:rsidRDefault="00950B00" w:rsidP="00950B00">
            <w:pPr>
              <w:rPr>
                <w:b/>
              </w:rPr>
            </w:pPr>
            <w:r>
              <w:rPr>
                <w:b/>
              </w:rPr>
              <w:t>Expected impact activities</w:t>
            </w:r>
          </w:p>
        </w:tc>
        <w:tc>
          <w:tcPr>
            <w:tcW w:w="7789" w:type="dxa"/>
          </w:tcPr>
          <w:p w14:paraId="07142438" w14:textId="6F50BA8D" w:rsidR="00950B00" w:rsidRPr="00950B00" w:rsidRDefault="00950B00" w:rsidP="00950B00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B00">
              <w:rPr>
                <w:rFonts w:asciiTheme="minorHAnsi" w:hAnsiTheme="minorHAnsi" w:cstheme="minorHAnsi"/>
                <w:sz w:val="22"/>
                <w:szCs w:val="22"/>
              </w:rPr>
              <w:t xml:space="preserve">The PhD student would be encouraged to engage in a variety of impact activities, disseminate the research project findings through public talks, and participate in QUB showcase events. Examples of impact activities includes: Blogs or web articles, Magazine articles, Public lectures, School visits, oral &amp; poster Presentations (at local, national and international conferences), and Publication of scientific papers in peer reviewed journals. </w:t>
            </w:r>
          </w:p>
        </w:tc>
      </w:tr>
    </w:tbl>
    <w:p w14:paraId="5D75BF85" w14:textId="77777777" w:rsidR="00375356" w:rsidRDefault="00375356"/>
    <w:sectPr w:rsidR="0037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B8E"/>
    <w:multiLevelType w:val="hybridMultilevel"/>
    <w:tmpl w:val="DF20729C"/>
    <w:lvl w:ilvl="0" w:tplc="178A51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3F20"/>
    <w:multiLevelType w:val="hybridMultilevel"/>
    <w:tmpl w:val="368287E6"/>
    <w:lvl w:ilvl="0" w:tplc="178A51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1543"/>
    <w:rsid w:val="00002F77"/>
    <w:rsid w:val="000140E0"/>
    <w:rsid w:val="00017B3A"/>
    <w:rsid w:val="000211E7"/>
    <w:rsid w:val="00036AC1"/>
    <w:rsid w:val="0006730B"/>
    <w:rsid w:val="00074FC2"/>
    <w:rsid w:val="00076683"/>
    <w:rsid w:val="0008106D"/>
    <w:rsid w:val="00087903"/>
    <w:rsid w:val="00093ED6"/>
    <w:rsid w:val="000976C2"/>
    <w:rsid w:val="000A25DC"/>
    <w:rsid w:val="000B5232"/>
    <w:rsid w:val="000B5533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7B6D"/>
    <w:rsid w:val="0013226E"/>
    <w:rsid w:val="00136716"/>
    <w:rsid w:val="00136A7C"/>
    <w:rsid w:val="0014119A"/>
    <w:rsid w:val="00147201"/>
    <w:rsid w:val="00151544"/>
    <w:rsid w:val="00152845"/>
    <w:rsid w:val="00152DAA"/>
    <w:rsid w:val="00152DD3"/>
    <w:rsid w:val="00157E70"/>
    <w:rsid w:val="001757EF"/>
    <w:rsid w:val="00182446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A77"/>
    <w:rsid w:val="001E0C79"/>
    <w:rsid w:val="001E10DB"/>
    <w:rsid w:val="001E6AE7"/>
    <w:rsid w:val="001F1653"/>
    <w:rsid w:val="001F273F"/>
    <w:rsid w:val="001F700A"/>
    <w:rsid w:val="0020192E"/>
    <w:rsid w:val="00203A71"/>
    <w:rsid w:val="0020699C"/>
    <w:rsid w:val="00211ADC"/>
    <w:rsid w:val="0023305E"/>
    <w:rsid w:val="00234A97"/>
    <w:rsid w:val="002438AA"/>
    <w:rsid w:val="0024565D"/>
    <w:rsid w:val="002663D0"/>
    <w:rsid w:val="002679A5"/>
    <w:rsid w:val="00270CA4"/>
    <w:rsid w:val="00275E36"/>
    <w:rsid w:val="00276A24"/>
    <w:rsid w:val="00277F21"/>
    <w:rsid w:val="00286380"/>
    <w:rsid w:val="00287196"/>
    <w:rsid w:val="002963E1"/>
    <w:rsid w:val="002A0180"/>
    <w:rsid w:val="002A22B2"/>
    <w:rsid w:val="002A6F4F"/>
    <w:rsid w:val="002B644E"/>
    <w:rsid w:val="002B6455"/>
    <w:rsid w:val="002E0374"/>
    <w:rsid w:val="002E6701"/>
    <w:rsid w:val="002F06D8"/>
    <w:rsid w:val="002F38B4"/>
    <w:rsid w:val="002F3D8F"/>
    <w:rsid w:val="00300B77"/>
    <w:rsid w:val="00303DAB"/>
    <w:rsid w:val="003107BA"/>
    <w:rsid w:val="00312241"/>
    <w:rsid w:val="00315F1B"/>
    <w:rsid w:val="0032288E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80978"/>
    <w:rsid w:val="00480D4A"/>
    <w:rsid w:val="0048607D"/>
    <w:rsid w:val="004874AA"/>
    <w:rsid w:val="004A4702"/>
    <w:rsid w:val="004C114A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1A46"/>
    <w:rsid w:val="00550AAE"/>
    <w:rsid w:val="00553AB1"/>
    <w:rsid w:val="00567EBE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6476"/>
    <w:rsid w:val="00657EC8"/>
    <w:rsid w:val="00663A1A"/>
    <w:rsid w:val="006815A5"/>
    <w:rsid w:val="00695F66"/>
    <w:rsid w:val="006977CC"/>
    <w:rsid w:val="006B2D8B"/>
    <w:rsid w:val="006B5E92"/>
    <w:rsid w:val="006C2131"/>
    <w:rsid w:val="006C5676"/>
    <w:rsid w:val="006C60CA"/>
    <w:rsid w:val="006C7069"/>
    <w:rsid w:val="006C778B"/>
    <w:rsid w:val="006D1994"/>
    <w:rsid w:val="006E4E27"/>
    <w:rsid w:val="006F6EA4"/>
    <w:rsid w:val="00703E40"/>
    <w:rsid w:val="00704886"/>
    <w:rsid w:val="00720F2B"/>
    <w:rsid w:val="00727F85"/>
    <w:rsid w:val="007347D4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93FA5"/>
    <w:rsid w:val="007B185B"/>
    <w:rsid w:val="007B1FB4"/>
    <w:rsid w:val="007B2C32"/>
    <w:rsid w:val="007B515E"/>
    <w:rsid w:val="007B5CF8"/>
    <w:rsid w:val="007B6E4A"/>
    <w:rsid w:val="007C3A10"/>
    <w:rsid w:val="007D2A36"/>
    <w:rsid w:val="007E0D0E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2904"/>
    <w:rsid w:val="00873281"/>
    <w:rsid w:val="00880D9A"/>
    <w:rsid w:val="0088290A"/>
    <w:rsid w:val="00884B0B"/>
    <w:rsid w:val="0088648A"/>
    <w:rsid w:val="0089003B"/>
    <w:rsid w:val="00890573"/>
    <w:rsid w:val="00890EB8"/>
    <w:rsid w:val="008937DE"/>
    <w:rsid w:val="00893C50"/>
    <w:rsid w:val="00896722"/>
    <w:rsid w:val="00897BAA"/>
    <w:rsid w:val="008A002F"/>
    <w:rsid w:val="008C083D"/>
    <w:rsid w:val="008F1C24"/>
    <w:rsid w:val="00925FA3"/>
    <w:rsid w:val="009279B9"/>
    <w:rsid w:val="009453CE"/>
    <w:rsid w:val="00950B00"/>
    <w:rsid w:val="0095334C"/>
    <w:rsid w:val="00956BE2"/>
    <w:rsid w:val="00957551"/>
    <w:rsid w:val="00960566"/>
    <w:rsid w:val="00981E1C"/>
    <w:rsid w:val="00982267"/>
    <w:rsid w:val="00982CC7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62C"/>
    <w:rsid w:val="00B42F58"/>
    <w:rsid w:val="00B44FF9"/>
    <w:rsid w:val="00B47154"/>
    <w:rsid w:val="00B50BAC"/>
    <w:rsid w:val="00B55E28"/>
    <w:rsid w:val="00B6354C"/>
    <w:rsid w:val="00B703CE"/>
    <w:rsid w:val="00B769FE"/>
    <w:rsid w:val="00BA71ED"/>
    <w:rsid w:val="00BB3C2F"/>
    <w:rsid w:val="00BB6F08"/>
    <w:rsid w:val="00BC2944"/>
    <w:rsid w:val="00BE346B"/>
    <w:rsid w:val="00BF08BD"/>
    <w:rsid w:val="00BF17EC"/>
    <w:rsid w:val="00BF4B26"/>
    <w:rsid w:val="00BF57DC"/>
    <w:rsid w:val="00BF78EE"/>
    <w:rsid w:val="00C12418"/>
    <w:rsid w:val="00C2183A"/>
    <w:rsid w:val="00C263B0"/>
    <w:rsid w:val="00C31A8A"/>
    <w:rsid w:val="00C3441B"/>
    <w:rsid w:val="00C428CF"/>
    <w:rsid w:val="00C47BCC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50BE"/>
    <w:rsid w:val="00CE6CFB"/>
    <w:rsid w:val="00D00807"/>
    <w:rsid w:val="00D0311E"/>
    <w:rsid w:val="00D113D5"/>
    <w:rsid w:val="00D11B48"/>
    <w:rsid w:val="00D1708D"/>
    <w:rsid w:val="00D23483"/>
    <w:rsid w:val="00D31D29"/>
    <w:rsid w:val="00D367BF"/>
    <w:rsid w:val="00D5030D"/>
    <w:rsid w:val="00D51DF9"/>
    <w:rsid w:val="00D5690F"/>
    <w:rsid w:val="00D57854"/>
    <w:rsid w:val="00D64E36"/>
    <w:rsid w:val="00D804A3"/>
    <w:rsid w:val="00D80D41"/>
    <w:rsid w:val="00D82FEF"/>
    <w:rsid w:val="00D91A1F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66B5"/>
    <w:rsid w:val="00E177D8"/>
    <w:rsid w:val="00E2148C"/>
    <w:rsid w:val="00E27D11"/>
    <w:rsid w:val="00E35E2D"/>
    <w:rsid w:val="00E36870"/>
    <w:rsid w:val="00E41AE4"/>
    <w:rsid w:val="00E44D18"/>
    <w:rsid w:val="00E455CC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2645B"/>
    <w:rsid w:val="00F276FA"/>
    <w:rsid w:val="00F333AB"/>
    <w:rsid w:val="00F36C48"/>
    <w:rsid w:val="00F376E8"/>
    <w:rsid w:val="00F45400"/>
    <w:rsid w:val="00F52902"/>
    <w:rsid w:val="00F53AD2"/>
    <w:rsid w:val="00F61002"/>
    <w:rsid w:val="00F74680"/>
    <w:rsid w:val="00F76DAC"/>
    <w:rsid w:val="00F81886"/>
    <w:rsid w:val="00F82BDB"/>
    <w:rsid w:val="00F848EA"/>
    <w:rsid w:val="00F90DB4"/>
    <w:rsid w:val="00FB3233"/>
    <w:rsid w:val="00FB58D0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90581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63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E1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2963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63E1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rsid w:val="002963E1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0B0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8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82446"/>
  </w:style>
  <w:style w:type="character" w:customStyle="1" w:styleId="eop">
    <w:name w:val="eop"/>
    <w:basedOn w:val="DefaultParagraphFont"/>
    <w:rsid w:val="00182446"/>
  </w:style>
  <w:style w:type="character" w:styleId="Strong">
    <w:name w:val="Strong"/>
    <w:basedOn w:val="DefaultParagraphFont"/>
    <w:uiPriority w:val="22"/>
    <w:qFormat/>
    <w:rsid w:val="00182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hyperlink" Target="https://pure.qub.ac.uk/en/persons/dimitrios-lampro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Ross Archibald</cp:lastModifiedBy>
  <cp:revision>4</cp:revision>
  <dcterms:created xsi:type="dcterms:W3CDTF">2021-10-14T20:50:00Z</dcterms:created>
  <dcterms:modified xsi:type="dcterms:W3CDTF">2021-11-19T12:23:00Z</dcterms:modified>
</cp:coreProperties>
</file>