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08E5" w14:textId="0C6DC490" w:rsidR="001976E1" w:rsidRDefault="00495498" w:rsidP="00495498">
      <w:r>
        <w:rPr>
          <w:noProof/>
          <w:lang w:eastAsia="en-GB"/>
        </w:rPr>
        <w:drawing>
          <wp:inline distT="0" distB="0" distL="0" distR="0" wp14:anchorId="6A1A9111" wp14:editId="55D7596C">
            <wp:extent cx="3962400" cy="1429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QUB Logo.jpg"/>
                    <pic:cNvPicPr/>
                  </pic:nvPicPr>
                  <pic:blipFill>
                    <a:blip r:embed="rId5">
                      <a:extLst>
                        <a:ext uri="{28A0092B-C50C-407E-A947-70E740481C1C}">
                          <a14:useLocalDpi xmlns:a14="http://schemas.microsoft.com/office/drawing/2010/main" val="0"/>
                        </a:ext>
                      </a:extLst>
                    </a:blip>
                    <a:stretch>
                      <a:fillRect/>
                    </a:stretch>
                  </pic:blipFill>
                  <pic:spPr>
                    <a:xfrm>
                      <a:off x="0" y="0"/>
                      <a:ext cx="3962400" cy="1429512"/>
                    </a:xfrm>
                    <a:prstGeom prst="rect">
                      <a:avLst/>
                    </a:prstGeom>
                  </pic:spPr>
                </pic:pic>
              </a:graphicData>
            </a:graphic>
          </wp:inline>
        </w:drawing>
      </w:r>
      <w:r w:rsidR="00695F66">
        <w:t xml:space="preserve"> </w:t>
      </w:r>
    </w:p>
    <w:tbl>
      <w:tblPr>
        <w:tblStyle w:val="TableGrid"/>
        <w:tblW w:w="9242" w:type="dxa"/>
        <w:tblLook w:val="04A0" w:firstRow="1" w:lastRow="0" w:firstColumn="1" w:lastColumn="0" w:noHBand="0" w:noVBand="1"/>
      </w:tblPr>
      <w:tblGrid>
        <w:gridCol w:w="1522"/>
        <w:gridCol w:w="7789"/>
      </w:tblGrid>
      <w:tr w:rsidR="007F3CD9" w:rsidRPr="001D5159" w14:paraId="139BB1E1" w14:textId="77777777" w:rsidTr="00873281">
        <w:trPr>
          <w:trHeight w:val="470"/>
        </w:trPr>
        <w:tc>
          <w:tcPr>
            <w:tcW w:w="1512" w:type="dxa"/>
            <w:shd w:val="clear" w:color="auto" w:fill="DEEAF6" w:themeFill="accent1" w:themeFillTint="33"/>
          </w:tcPr>
          <w:p w14:paraId="50D7F92E"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Title of studentship</w:t>
            </w:r>
          </w:p>
        </w:tc>
        <w:tc>
          <w:tcPr>
            <w:tcW w:w="7730" w:type="dxa"/>
          </w:tcPr>
          <w:p w14:paraId="087F3833" w14:textId="071AD3AC" w:rsidR="007F3CD9" w:rsidRPr="001D5159" w:rsidRDefault="00916D3D" w:rsidP="0066316A">
            <w:pPr>
              <w:rPr>
                <w:rFonts w:ascii="Calibri" w:hAnsi="Calibri"/>
              </w:rPr>
            </w:pPr>
            <w:r>
              <w:rPr>
                <w:rFonts w:ascii="Calibri" w:hAnsi="Calibri"/>
              </w:rPr>
              <w:t>Multifunctional Biomaterials to Combat Infection and Modulate Inflammation</w:t>
            </w:r>
          </w:p>
        </w:tc>
      </w:tr>
      <w:tr w:rsidR="007F3CD9" w:rsidRPr="001D5159" w14:paraId="5693CC34" w14:textId="77777777" w:rsidTr="00873281">
        <w:trPr>
          <w:trHeight w:val="444"/>
        </w:trPr>
        <w:tc>
          <w:tcPr>
            <w:tcW w:w="1512" w:type="dxa"/>
            <w:shd w:val="clear" w:color="auto" w:fill="DEEAF6" w:themeFill="accent1" w:themeFillTint="33"/>
          </w:tcPr>
          <w:p w14:paraId="5703C4CD" w14:textId="77777777" w:rsidR="007F3CD9" w:rsidRPr="001D5159" w:rsidRDefault="007F3CD9">
            <w:pPr>
              <w:rPr>
                <w:rFonts w:ascii="Calibri" w:hAnsi="Calibri"/>
                <w:b/>
              </w:rPr>
            </w:pPr>
            <w:r w:rsidRPr="001D5159">
              <w:rPr>
                <w:rFonts w:ascii="Calibri" w:hAnsi="Calibri"/>
                <w:b/>
              </w:rPr>
              <w:t>Value</w:t>
            </w:r>
            <w:r w:rsidR="000F380D" w:rsidRPr="001D5159">
              <w:rPr>
                <w:rFonts w:ascii="Calibri" w:hAnsi="Calibri"/>
                <w:b/>
              </w:rPr>
              <w:t xml:space="preserve"> / what is covered? </w:t>
            </w:r>
          </w:p>
        </w:tc>
        <w:tc>
          <w:tcPr>
            <w:tcW w:w="7730" w:type="dxa"/>
          </w:tcPr>
          <w:p w14:paraId="48FF48B0" w14:textId="0284CBE9" w:rsidR="007F3CD9" w:rsidRPr="001D5159" w:rsidRDefault="00916D3D">
            <w:pPr>
              <w:rPr>
                <w:rFonts w:ascii="Calibri" w:hAnsi="Calibri"/>
              </w:rPr>
            </w:pPr>
            <w:r>
              <w:rPr>
                <w:rFonts w:ascii="Calibri" w:hAnsi="Calibri"/>
              </w:rPr>
              <w:t>Tuition fees and student stipend</w:t>
            </w:r>
            <w:r w:rsidR="002F3A2A">
              <w:rPr>
                <w:rFonts w:ascii="Calibri" w:hAnsi="Calibri"/>
              </w:rPr>
              <w:t xml:space="preserve">, </w:t>
            </w:r>
            <w:r w:rsidR="007A6312">
              <w:rPr>
                <w:rFonts w:ascii="Calibri" w:hAnsi="Calibri"/>
              </w:rPr>
              <w:t>subject to funding</w:t>
            </w:r>
            <w:r w:rsidR="002F3A2A">
              <w:rPr>
                <w:rFonts w:ascii="Calibri" w:hAnsi="Calibri"/>
              </w:rPr>
              <w:t xml:space="preserve">. Self-funded students </w:t>
            </w:r>
            <w:r w:rsidR="007A6312">
              <w:rPr>
                <w:rFonts w:ascii="Calibri" w:hAnsi="Calibri"/>
              </w:rPr>
              <w:t>also welcome to apply.</w:t>
            </w:r>
          </w:p>
          <w:p w14:paraId="4D692A97" w14:textId="26005BE5" w:rsidR="007C3A10" w:rsidRPr="001D5159" w:rsidRDefault="007C3A10" w:rsidP="00FB1B0D">
            <w:pPr>
              <w:rPr>
                <w:rFonts w:ascii="Calibri" w:hAnsi="Calibri"/>
              </w:rPr>
            </w:pPr>
          </w:p>
        </w:tc>
      </w:tr>
      <w:tr w:rsidR="007F3CD9" w:rsidRPr="001D5159" w14:paraId="7BE5D50C" w14:textId="77777777" w:rsidTr="00873281">
        <w:trPr>
          <w:trHeight w:val="470"/>
        </w:trPr>
        <w:tc>
          <w:tcPr>
            <w:tcW w:w="1512" w:type="dxa"/>
            <w:shd w:val="clear" w:color="auto" w:fill="DEEAF6" w:themeFill="accent1" w:themeFillTint="33"/>
          </w:tcPr>
          <w:p w14:paraId="7F0DCF90" w14:textId="77777777" w:rsidR="007F3CD9" w:rsidRPr="001D5159" w:rsidRDefault="007F3CD9">
            <w:pPr>
              <w:rPr>
                <w:rFonts w:ascii="Calibri" w:hAnsi="Calibri"/>
                <w:b/>
              </w:rPr>
            </w:pPr>
            <w:r w:rsidRPr="001D5159">
              <w:rPr>
                <w:rFonts w:ascii="Calibri" w:hAnsi="Calibri"/>
                <w:b/>
              </w:rPr>
              <w:t>Awarding body</w:t>
            </w:r>
          </w:p>
        </w:tc>
        <w:tc>
          <w:tcPr>
            <w:tcW w:w="7730" w:type="dxa"/>
          </w:tcPr>
          <w:p w14:paraId="4FE0BE00" w14:textId="63EB6CCF" w:rsidR="007F3CD9" w:rsidRPr="001D5159" w:rsidRDefault="00916D3D">
            <w:pPr>
              <w:rPr>
                <w:rFonts w:ascii="Calibri" w:hAnsi="Calibri"/>
              </w:rPr>
            </w:pPr>
            <w:r>
              <w:rPr>
                <w:rFonts w:ascii="Calibri" w:hAnsi="Calibri"/>
              </w:rPr>
              <w:t>DfE</w:t>
            </w:r>
          </w:p>
        </w:tc>
      </w:tr>
      <w:tr w:rsidR="007F3CD9" w:rsidRPr="001D5159" w14:paraId="0FD83558" w14:textId="77777777" w:rsidTr="001D5159">
        <w:trPr>
          <w:trHeight w:val="557"/>
        </w:trPr>
        <w:tc>
          <w:tcPr>
            <w:tcW w:w="1512" w:type="dxa"/>
            <w:shd w:val="clear" w:color="auto" w:fill="DEEAF6" w:themeFill="accent1" w:themeFillTint="33"/>
          </w:tcPr>
          <w:p w14:paraId="3B2B1F67" w14:textId="77777777" w:rsidR="007F3CD9" w:rsidRPr="001D5159" w:rsidRDefault="007F3CD9">
            <w:pPr>
              <w:rPr>
                <w:rFonts w:ascii="Calibri" w:hAnsi="Calibri"/>
                <w:b/>
              </w:rPr>
            </w:pPr>
            <w:r w:rsidRPr="001D5159">
              <w:rPr>
                <w:rFonts w:ascii="Calibri" w:hAnsi="Calibri"/>
                <w:b/>
              </w:rPr>
              <w:t>Number of studentships</w:t>
            </w:r>
          </w:p>
        </w:tc>
        <w:tc>
          <w:tcPr>
            <w:tcW w:w="7730" w:type="dxa"/>
          </w:tcPr>
          <w:p w14:paraId="00607795" w14:textId="77777777" w:rsidR="007F3CD9" w:rsidRPr="001D5159" w:rsidRDefault="007C3A10">
            <w:pPr>
              <w:rPr>
                <w:rFonts w:ascii="Calibri" w:hAnsi="Calibri"/>
              </w:rPr>
            </w:pPr>
            <w:r w:rsidRPr="001D5159">
              <w:rPr>
                <w:rFonts w:ascii="Calibri" w:hAnsi="Calibri"/>
              </w:rPr>
              <w:t>1</w:t>
            </w:r>
          </w:p>
        </w:tc>
      </w:tr>
      <w:tr w:rsidR="007F3CD9" w:rsidRPr="001D5159" w14:paraId="7D945C08" w14:textId="77777777" w:rsidTr="00873281">
        <w:trPr>
          <w:trHeight w:val="1412"/>
        </w:trPr>
        <w:tc>
          <w:tcPr>
            <w:tcW w:w="1512" w:type="dxa"/>
            <w:shd w:val="clear" w:color="auto" w:fill="DEEAF6" w:themeFill="accent1" w:themeFillTint="33"/>
          </w:tcPr>
          <w:p w14:paraId="74833CDF"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Summary </w:t>
            </w:r>
            <w:r w:rsidR="00270CA4" w:rsidRPr="001D5159">
              <w:rPr>
                <w:rFonts w:ascii="Calibri" w:hAnsi="Calibri"/>
                <w:b/>
              </w:rPr>
              <w:t xml:space="preserve">descriptive </w:t>
            </w:r>
            <w:r w:rsidR="007F3CD9" w:rsidRPr="001D5159">
              <w:rPr>
                <w:rFonts w:ascii="Calibri" w:hAnsi="Calibri"/>
                <w:b/>
              </w:rPr>
              <w:t>text</w:t>
            </w:r>
            <w:r w:rsidR="00270CA4" w:rsidRPr="001D5159">
              <w:rPr>
                <w:rFonts w:ascii="Calibri" w:hAnsi="Calibri"/>
                <w:b/>
              </w:rPr>
              <w:t xml:space="preserve"> / Example of research project </w:t>
            </w:r>
          </w:p>
        </w:tc>
        <w:tc>
          <w:tcPr>
            <w:tcW w:w="7730" w:type="dxa"/>
          </w:tcPr>
          <w:p w14:paraId="528CBDEE" w14:textId="7C5F2F52" w:rsidR="00916D3D" w:rsidRDefault="00916D3D" w:rsidP="003125A1">
            <w:pPr>
              <w:jc w:val="both"/>
              <w:rPr>
                <w:rFonts w:ascii="Calibri" w:hAnsi="Calibri"/>
                <w:lang w:val="en-US"/>
              </w:rPr>
            </w:pPr>
            <w:r>
              <w:rPr>
                <w:rFonts w:ascii="Calibri" w:hAnsi="Calibri"/>
                <w:lang w:val="en-US"/>
              </w:rPr>
              <w:t>Implantable medical devices are commonplace in modern medicine (</w:t>
            </w:r>
            <w:proofErr w:type="gramStart"/>
            <w:r>
              <w:rPr>
                <w:rFonts w:ascii="Calibri" w:hAnsi="Calibri"/>
                <w:lang w:val="en-US"/>
              </w:rPr>
              <w:t>e.g.</w:t>
            </w:r>
            <w:proofErr w:type="gramEnd"/>
            <w:r>
              <w:rPr>
                <w:rFonts w:ascii="Calibri" w:hAnsi="Calibri"/>
                <w:lang w:val="en-US"/>
              </w:rPr>
              <w:t xml:space="preserve"> joint replacements, stents, artificial heart valves, etc.), and are of ever increasing interest in the field of regenerative medicine. However, biomaterials from which such devices are made are essentially foreign to the human </w:t>
            </w:r>
            <w:proofErr w:type="gramStart"/>
            <w:r>
              <w:rPr>
                <w:rFonts w:ascii="Calibri" w:hAnsi="Calibri"/>
                <w:lang w:val="en-US"/>
              </w:rPr>
              <w:t>body, and</w:t>
            </w:r>
            <w:proofErr w:type="gramEnd"/>
            <w:r>
              <w:rPr>
                <w:rFonts w:ascii="Calibri" w:hAnsi="Calibri"/>
                <w:lang w:val="en-US"/>
              </w:rPr>
              <w:t xml:space="preserve"> are associated with triggering inflammation and immune reactions. Biomaterials are also a potential source of infection, owing to the ability of bacteria to attach and form biofilms on the material surface.</w:t>
            </w:r>
          </w:p>
          <w:p w14:paraId="1E7004BE" w14:textId="77777777" w:rsidR="00916D3D" w:rsidRDefault="00916D3D" w:rsidP="003125A1">
            <w:pPr>
              <w:jc w:val="both"/>
              <w:rPr>
                <w:rFonts w:ascii="Calibri" w:hAnsi="Calibri"/>
                <w:lang w:val="en-US"/>
              </w:rPr>
            </w:pPr>
          </w:p>
          <w:p w14:paraId="65B728E1" w14:textId="77777777" w:rsidR="00916D3D" w:rsidRDefault="00916D3D" w:rsidP="003125A1">
            <w:pPr>
              <w:jc w:val="both"/>
              <w:rPr>
                <w:rFonts w:ascii="Calibri" w:hAnsi="Calibri"/>
                <w:lang w:val="en-US"/>
              </w:rPr>
            </w:pPr>
            <w:r>
              <w:rPr>
                <w:rFonts w:ascii="Calibri" w:hAnsi="Calibri"/>
                <w:lang w:val="en-US"/>
              </w:rPr>
              <w:t>This project will focus on the quest for multifunctional biomaterials with combined properties that can combat infection, modulate inflammation, and promote regeneration at the same time. These properties are important considerations in the development of improved biomaterials for tissue scaffolds or implantable medical devices.</w:t>
            </w:r>
          </w:p>
          <w:p w14:paraId="567BFFCD" w14:textId="77777777" w:rsidR="00367068" w:rsidRDefault="00367068" w:rsidP="003125A1">
            <w:pPr>
              <w:jc w:val="both"/>
              <w:rPr>
                <w:rFonts w:ascii="Calibri" w:hAnsi="Calibri"/>
                <w:lang w:val="en-US"/>
              </w:rPr>
            </w:pPr>
          </w:p>
          <w:p w14:paraId="69C31F4A" w14:textId="3083B187" w:rsidR="00367068" w:rsidRPr="001D5159" w:rsidRDefault="001162F2" w:rsidP="003125A1">
            <w:pPr>
              <w:jc w:val="both"/>
              <w:rPr>
                <w:rFonts w:ascii="Calibri" w:hAnsi="Calibri"/>
                <w:lang w:val="en-US"/>
              </w:rPr>
            </w:pPr>
            <w:r>
              <w:rPr>
                <w:rFonts w:ascii="Calibri" w:hAnsi="Calibri"/>
                <w:lang w:val="en-US"/>
              </w:rPr>
              <w:t>The cross-disciplinary project will provide an excellent opportunity for extensive training in a diverse</w:t>
            </w:r>
            <w:r w:rsidR="00B000F1">
              <w:rPr>
                <w:rFonts w:ascii="Calibri" w:hAnsi="Calibri"/>
                <w:lang w:val="en-US"/>
              </w:rPr>
              <w:t xml:space="preserve"> range of scientific disciplines, </w:t>
            </w:r>
            <w:proofErr w:type="gramStart"/>
            <w:r w:rsidR="00B000F1">
              <w:rPr>
                <w:rFonts w:ascii="Calibri" w:hAnsi="Calibri"/>
                <w:lang w:val="en-US"/>
              </w:rPr>
              <w:t>including:</w:t>
            </w:r>
            <w:proofErr w:type="gramEnd"/>
            <w:r w:rsidR="00B000F1">
              <w:rPr>
                <w:rFonts w:ascii="Calibri" w:hAnsi="Calibri"/>
                <w:lang w:val="en-US"/>
              </w:rPr>
              <w:t xml:space="preserve"> polymer science, microbiology</w:t>
            </w:r>
            <w:r w:rsidR="003E075D">
              <w:rPr>
                <w:rFonts w:ascii="Calibri" w:hAnsi="Calibri"/>
                <w:lang w:val="en-US"/>
              </w:rPr>
              <w:t>, advances analytical methods, medical device fabrication, cell culture, and molecular biology.</w:t>
            </w:r>
          </w:p>
        </w:tc>
      </w:tr>
      <w:tr w:rsidR="00695F66" w:rsidRPr="001D5159" w14:paraId="4E56534D" w14:textId="77777777" w:rsidTr="00873281">
        <w:trPr>
          <w:trHeight w:val="625"/>
        </w:trPr>
        <w:tc>
          <w:tcPr>
            <w:tcW w:w="1512" w:type="dxa"/>
            <w:shd w:val="clear" w:color="auto" w:fill="DEEAF6" w:themeFill="accent1" w:themeFillTint="33"/>
          </w:tcPr>
          <w:p w14:paraId="3F9B8C4D" w14:textId="77777777" w:rsidR="00695F66" w:rsidRPr="001D5159" w:rsidRDefault="000F6B4D">
            <w:pPr>
              <w:rPr>
                <w:rFonts w:ascii="Calibri" w:hAnsi="Calibri"/>
                <w:b/>
              </w:rPr>
            </w:pPr>
            <w:r w:rsidRPr="001D5159">
              <w:rPr>
                <w:rFonts w:ascii="Calibri" w:hAnsi="Calibri"/>
                <w:b/>
              </w:rPr>
              <w:t>*Supervisor(s)</w:t>
            </w:r>
          </w:p>
        </w:tc>
        <w:tc>
          <w:tcPr>
            <w:tcW w:w="7730" w:type="dxa"/>
          </w:tcPr>
          <w:p w14:paraId="4D62474E" w14:textId="7B92C0D0" w:rsidR="00695F66" w:rsidRPr="001D5159" w:rsidRDefault="00502C57" w:rsidP="00BC3878">
            <w:pPr>
              <w:rPr>
                <w:rFonts w:ascii="Calibri" w:hAnsi="Calibri"/>
              </w:rPr>
            </w:pPr>
            <w:r w:rsidRPr="001D5159">
              <w:rPr>
                <w:rFonts w:ascii="Calibri" w:hAnsi="Calibri"/>
              </w:rPr>
              <w:t xml:space="preserve"> </w:t>
            </w:r>
            <w:r w:rsidR="00916D3D">
              <w:rPr>
                <w:rFonts w:ascii="Calibri" w:hAnsi="Calibri"/>
              </w:rPr>
              <w:t>Dr Louise Carson, Prof Karl Malcolm</w:t>
            </w:r>
            <w:r w:rsidR="006D08AA">
              <w:rPr>
                <w:rFonts w:ascii="Calibri" w:hAnsi="Calibri"/>
              </w:rPr>
              <w:t>, Dr Matthew Wylie</w:t>
            </w:r>
          </w:p>
        </w:tc>
      </w:tr>
      <w:tr w:rsidR="007F3CD9" w:rsidRPr="001D5159" w14:paraId="4E0B3869" w14:textId="77777777" w:rsidTr="00873281">
        <w:trPr>
          <w:trHeight w:val="630"/>
        </w:trPr>
        <w:tc>
          <w:tcPr>
            <w:tcW w:w="1512" w:type="dxa"/>
            <w:shd w:val="clear" w:color="auto" w:fill="DEEAF6" w:themeFill="accent1" w:themeFillTint="33"/>
          </w:tcPr>
          <w:p w14:paraId="60C69440" w14:textId="77777777" w:rsidR="007F3CD9" w:rsidRPr="001D5159" w:rsidRDefault="00695F66">
            <w:pPr>
              <w:rPr>
                <w:rFonts w:ascii="Calibri" w:hAnsi="Calibri"/>
                <w:b/>
              </w:rPr>
            </w:pPr>
            <w:r w:rsidRPr="001D5159">
              <w:rPr>
                <w:rFonts w:ascii="Calibri" w:hAnsi="Calibri"/>
                <w:b/>
              </w:rPr>
              <w:t>*</w:t>
            </w:r>
            <w:r w:rsidR="001B792D" w:rsidRPr="001D5159">
              <w:rPr>
                <w:rFonts w:ascii="Calibri" w:hAnsi="Calibri"/>
                <w:b/>
              </w:rPr>
              <w:t xml:space="preserve">Eligibility / residence </w:t>
            </w:r>
            <w:r w:rsidR="007F3CD9" w:rsidRPr="001D5159">
              <w:rPr>
                <w:rFonts w:ascii="Calibri" w:hAnsi="Calibri"/>
                <w:b/>
              </w:rPr>
              <w:t>Status</w:t>
            </w:r>
          </w:p>
        </w:tc>
        <w:tc>
          <w:tcPr>
            <w:tcW w:w="7730" w:type="dxa"/>
          </w:tcPr>
          <w:p w14:paraId="3D324EF1" w14:textId="23FA1867" w:rsidR="007F3CD9" w:rsidRPr="001D5159" w:rsidRDefault="001E7C56">
            <w:pPr>
              <w:rPr>
                <w:rFonts w:ascii="Calibri" w:hAnsi="Calibri"/>
              </w:rPr>
            </w:pPr>
            <w:r>
              <w:rPr>
                <w:rFonts w:ascii="Calibri" w:hAnsi="Calibri"/>
              </w:rPr>
              <w:t>UK residents eligible for full DfE funding</w:t>
            </w:r>
          </w:p>
        </w:tc>
      </w:tr>
      <w:tr w:rsidR="007F3CD9" w:rsidRPr="001D5159" w14:paraId="0ED025C8" w14:textId="77777777" w:rsidTr="008B1ADC">
        <w:trPr>
          <w:trHeight w:val="656"/>
        </w:trPr>
        <w:tc>
          <w:tcPr>
            <w:tcW w:w="1512" w:type="dxa"/>
            <w:shd w:val="clear" w:color="auto" w:fill="DEEAF6" w:themeFill="accent1" w:themeFillTint="33"/>
          </w:tcPr>
          <w:p w14:paraId="1F7FEB37" w14:textId="77777777" w:rsidR="007F3CD9" w:rsidRPr="001D5159" w:rsidRDefault="00695F66">
            <w:pPr>
              <w:rPr>
                <w:rFonts w:ascii="Calibri" w:hAnsi="Calibri"/>
                <w:b/>
              </w:rPr>
            </w:pPr>
            <w:r w:rsidRPr="001D5159">
              <w:rPr>
                <w:rFonts w:ascii="Calibri" w:hAnsi="Calibri"/>
                <w:b/>
              </w:rPr>
              <w:t>Country</w:t>
            </w:r>
          </w:p>
        </w:tc>
        <w:tc>
          <w:tcPr>
            <w:tcW w:w="7730" w:type="dxa"/>
          </w:tcPr>
          <w:p w14:paraId="096F5302" w14:textId="77777777" w:rsidR="007F3CD9" w:rsidRPr="001D5159" w:rsidRDefault="007C3A10">
            <w:pPr>
              <w:rPr>
                <w:rFonts w:ascii="Calibri" w:hAnsi="Calibri"/>
              </w:rPr>
            </w:pPr>
            <w:r w:rsidRPr="001D5159">
              <w:rPr>
                <w:rFonts w:ascii="Calibri" w:hAnsi="Calibri"/>
              </w:rPr>
              <w:t>Northern Ireland</w:t>
            </w:r>
          </w:p>
        </w:tc>
      </w:tr>
      <w:tr w:rsidR="007F3CD9" w:rsidRPr="001D5159" w14:paraId="5A9A4024" w14:textId="77777777" w:rsidTr="00873281">
        <w:trPr>
          <w:trHeight w:val="630"/>
        </w:trPr>
        <w:tc>
          <w:tcPr>
            <w:tcW w:w="1512" w:type="dxa"/>
            <w:shd w:val="clear" w:color="auto" w:fill="DEEAF6" w:themeFill="accent1" w:themeFillTint="33"/>
          </w:tcPr>
          <w:p w14:paraId="62462A05"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Start date and duration </w:t>
            </w:r>
          </w:p>
        </w:tc>
        <w:tc>
          <w:tcPr>
            <w:tcW w:w="7730" w:type="dxa"/>
          </w:tcPr>
          <w:p w14:paraId="4010ABC3" w14:textId="0A0CCBC4" w:rsidR="007F3CD9" w:rsidRPr="001D5159" w:rsidRDefault="001E7C56" w:rsidP="00BC3878">
            <w:pPr>
              <w:rPr>
                <w:rFonts w:ascii="Calibri" w:hAnsi="Calibri"/>
              </w:rPr>
            </w:pPr>
            <w:r>
              <w:rPr>
                <w:rFonts w:ascii="Calibri" w:hAnsi="Calibri"/>
              </w:rPr>
              <w:t>October 2022</w:t>
            </w:r>
          </w:p>
        </w:tc>
      </w:tr>
      <w:tr w:rsidR="007F3CD9" w:rsidRPr="001D5159" w14:paraId="28F29B22" w14:textId="77777777" w:rsidTr="00873281">
        <w:trPr>
          <w:trHeight w:val="444"/>
        </w:trPr>
        <w:tc>
          <w:tcPr>
            <w:tcW w:w="1512" w:type="dxa"/>
            <w:shd w:val="clear" w:color="auto" w:fill="DEEAF6" w:themeFill="accent1" w:themeFillTint="33"/>
          </w:tcPr>
          <w:p w14:paraId="6A9B78EC"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Faculty</w:t>
            </w:r>
          </w:p>
        </w:tc>
        <w:tc>
          <w:tcPr>
            <w:tcW w:w="7730" w:type="dxa"/>
          </w:tcPr>
          <w:p w14:paraId="697AD963" w14:textId="77777777" w:rsidR="007F3CD9" w:rsidRPr="001D5159" w:rsidRDefault="007C3A10">
            <w:pPr>
              <w:rPr>
                <w:rFonts w:ascii="Calibri" w:hAnsi="Calibri"/>
              </w:rPr>
            </w:pPr>
            <w:r w:rsidRPr="001D5159">
              <w:rPr>
                <w:rFonts w:ascii="Calibri" w:hAnsi="Calibri"/>
              </w:rPr>
              <w:t>MHLS</w:t>
            </w:r>
          </w:p>
        </w:tc>
      </w:tr>
      <w:tr w:rsidR="007F3CD9" w:rsidRPr="001D5159" w14:paraId="0F4A2020" w14:textId="77777777" w:rsidTr="00873281">
        <w:trPr>
          <w:trHeight w:val="470"/>
        </w:trPr>
        <w:tc>
          <w:tcPr>
            <w:tcW w:w="1512" w:type="dxa"/>
            <w:shd w:val="clear" w:color="auto" w:fill="DEEAF6" w:themeFill="accent1" w:themeFillTint="33"/>
          </w:tcPr>
          <w:p w14:paraId="7E363DF7"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Research centre / School</w:t>
            </w:r>
          </w:p>
        </w:tc>
        <w:tc>
          <w:tcPr>
            <w:tcW w:w="7730" w:type="dxa"/>
          </w:tcPr>
          <w:p w14:paraId="01F42C0A" w14:textId="77777777" w:rsidR="007F3CD9" w:rsidRPr="001D5159" w:rsidRDefault="007C3A10">
            <w:pPr>
              <w:rPr>
                <w:rFonts w:ascii="Calibri" w:hAnsi="Calibri"/>
              </w:rPr>
            </w:pPr>
            <w:r w:rsidRPr="001D5159">
              <w:rPr>
                <w:rFonts w:ascii="Calibri" w:hAnsi="Calibri"/>
              </w:rPr>
              <w:t>Pharmacy</w:t>
            </w:r>
          </w:p>
        </w:tc>
      </w:tr>
      <w:tr w:rsidR="001B792D" w:rsidRPr="001D5159" w14:paraId="2B55D6E4" w14:textId="77777777" w:rsidTr="00873281">
        <w:trPr>
          <w:trHeight w:val="470"/>
        </w:trPr>
        <w:tc>
          <w:tcPr>
            <w:tcW w:w="1512" w:type="dxa"/>
            <w:shd w:val="clear" w:color="auto" w:fill="DEEAF6" w:themeFill="accent1" w:themeFillTint="33"/>
          </w:tcPr>
          <w:p w14:paraId="29BF30B7" w14:textId="77777777" w:rsidR="001B792D" w:rsidRPr="001D5159" w:rsidRDefault="001B792D">
            <w:pPr>
              <w:rPr>
                <w:rFonts w:ascii="Calibri" w:hAnsi="Calibri"/>
                <w:b/>
              </w:rPr>
            </w:pPr>
            <w:r w:rsidRPr="001D5159">
              <w:rPr>
                <w:rFonts w:ascii="Calibri" w:hAnsi="Calibri"/>
                <w:b/>
              </w:rPr>
              <w:lastRenderedPageBreak/>
              <w:t>Subject area</w:t>
            </w:r>
          </w:p>
        </w:tc>
        <w:tc>
          <w:tcPr>
            <w:tcW w:w="7730" w:type="dxa"/>
          </w:tcPr>
          <w:p w14:paraId="26BC92BB" w14:textId="23C0DB5D" w:rsidR="001B792D" w:rsidRPr="001D5159" w:rsidRDefault="001E7C56">
            <w:pPr>
              <w:rPr>
                <w:rFonts w:ascii="Calibri" w:hAnsi="Calibri"/>
              </w:rPr>
            </w:pPr>
            <w:r>
              <w:rPr>
                <w:rFonts w:ascii="Calibri" w:hAnsi="Calibri"/>
              </w:rPr>
              <w:t>Biomaterials and Infection Control</w:t>
            </w:r>
          </w:p>
        </w:tc>
      </w:tr>
      <w:tr w:rsidR="007F3CD9" w:rsidRPr="001D5159" w14:paraId="37F2D25C" w14:textId="77777777" w:rsidTr="00873281">
        <w:trPr>
          <w:trHeight w:val="444"/>
        </w:trPr>
        <w:tc>
          <w:tcPr>
            <w:tcW w:w="1512" w:type="dxa"/>
            <w:shd w:val="clear" w:color="auto" w:fill="DEEAF6" w:themeFill="accent1" w:themeFillTint="33"/>
          </w:tcPr>
          <w:p w14:paraId="1721C332" w14:textId="77777777" w:rsidR="007F3CD9" w:rsidRPr="001D5159" w:rsidRDefault="001B792D">
            <w:pPr>
              <w:rPr>
                <w:rFonts w:ascii="Calibri" w:hAnsi="Calibri"/>
                <w:b/>
              </w:rPr>
            </w:pPr>
            <w:r w:rsidRPr="001D5159">
              <w:rPr>
                <w:rFonts w:ascii="Calibri" w:hAnsi="Calibri"/>
                <w:b/>
              </w:rPr>
              <w:t>Candidate requirements / K</w:t>
            </w:r>
            <w:r w:rsidR="00695F66" w:rsidRPr="001D5159">
              <w:rPr>
                <w:rFonts w:ascii="Calibri" w:hAnsi="Calibri"/>
                <w:b/>
              </w:rPr>
              <w:t xml:space="preserve">ey skills required for the post </w:t>
            </w:r>
          </w:p>
          <w:p w14:paraId="054A0AE4" w14:textId="77777777" w:rsidR="00695F66" w:rsidRPr="001D5159" w:rsidRDefault="00695F66">
            <w:pPr>
              <w:rPr>
                <w:rFonts w:ascii="Calibri" w:hAnsi="Calibri"/>
                <w:b/>
              </w:rPr>
            </w:pPr>
          </w:p>
        </w:tc>
        <w:tc>
          <w:tcPr>
            <w:tcW w:w="7730" w:type="dxa"/>
          </w:tcPr>
          <w:p w14:paraId="0B0D5859" w14:textId="77777777" w:rsidR="007F3CD9" w:rsidRDefault="007C3A10">
            <w:pPr>
              <w:rPr>
                <w:rFonts w:ascii="Calibri" w:hAnsi="Calibri" w:cs="Arial"/>
              </w:rPr>
            </w:pPr>
            <w:r w:rsidRPr="001D5159">
              <w:rPr>
                <w:rFonts w:ascii="Calibri" w:hAnsi="Calibri" w:cs="Arial"/>
              </w:rPr>
              <w:t xml:space="preserve">Applicants should have a 1st or 2.1 honours degree (or equivalent) in a relevant subject. Relevant subjects include </w:t>
            </w:r>
            <w:r w:rsidR="00090D75" w:rsidRPr="001D5159">
              <w:rPr>
                <w:rFonts w:ascii="Calibri" w:hAnsi="Calibri" w:cs="Arial"/>
              </w:rPr>
              <w:t>Pharmacy</w:t>
            </w:r>
            <w:r w:rsidR="00090D75">
              <w:rPr>
                <w:rFonts w:ascii="Calibri" w:hAnsi="Calibri" w:cs="Arial"/>
              </w:rPr>
              <w:t>, Pharmaceutical</w:t>
            </w:r>
            <w:r w:rsidRPr="001D5159">
              <w:rPr>
                <w:rFonts w:ascii="Calibri" w:hAnsi="Calibri" w:cs="Arial"/>
              </w:rPr>
              <w:t xml:space="preserve"> Sciences, Biochemistry, Biological/Biomedical Sciences,</w:t>
            </w:r>
            <w:r w:rsidR="002F06D8" w:rsidRPr="001D5159">
              <w:rPr>
                <w:rFonts w:ascii="Calibri" w:hAnsi="Calibri" w:cs="Arial"/>
              </w:rPr>
              <w:t xml:space="preserve"> </w:t>
            </w:r>
            <w:r w:rsidRPr="001D5159">
              <w:rPr>
                <w:rFonts w:ascii="Calibri" w:hAnsi="Calibri" w:cs="Arial"/>
              </w:rPr>
              <w:t>Chemistry, Engineering</w:t>
            </w:r>
            <w:r w:rsidR="00E41AE4" w:rsidRPr="001D5159">
              <w:rPr>
                <w:rFonts w:ascii="Calibri" w:hAnsi="Calibri" w:cs="Arial"/>
              </w:rPr>
              <w:t xml:space="preserve">, or </w:t>
            </w:r>
            <w:r w:rsidRPr="001D5159">
              <w:rPr>
                <w:rFonts w:ascii="Calibri" w:hAnsi="Calibri" w:cs="Arial"/>
              </w:rPr>
              <w:t>a closely related discipline. Students who have a 2.2 honours degree and a Master’s degree may also be considered, but the School reserves the right to shortlist for interview only those applicants who have demonstrated high academic attainment to date</w:t>
            </w:r>
            <w:r w:rsidR="007523AE">
              <w:rPr>
                <w:rFonts w:ascii="Calibri" w:hAnsi="Calibri" w:cs="Arial"/>
              </w:rPr>
              <w:t>.</w:t>
            </w:r>
          </w:p>
          <w:p w14:paraId="04908960" w14:textId="747FBEA3" w:rsidR="00C315D7" w:rsidRPr="001D5159" w:rsidRDefault="00C315D7" w:rsidP="008B1ADC">
            <w:pPr>
              <w:rPr>
                <w:rFonts w:ascii="Calibri" w:hAnsi="Calibri"/>
              </w:rPr>
            </w:pPr>
          </w:p>
        </w:tc>
      </w:tr>
      <w:tr w:rsidR="007F3CD9" w:rsidRPr="001D5159" w14:paraId="20B23C1A" w14:textId="77777777" w:rsidTr="00873281">
        <w:trPr>
          <w:trHeight w:val="444"/>
        </w:trPr>
        <w:tc>
          <w:tcPr>
            <w:tcW w:w="1512" w:type="dxa"/>
            <w:shd w:val="clear" w:color="auto" w:fill="DEEAF6" w:themeFill="accent1" w:themeFillTint="33"/>
          </w:tcPr>
          <w:p w14:paraId="797CECE2" w14:textId="09D31F22" w:rsidR="007F3CD9" w:rsidRPr="001D5159" w:rsidRDefault="00695F66">
            <w:pPr>
              <w:rPr>
                <w:rFonts w:ascii="Calibri" w:hAnsi="Calibri"/>
                <w:b/>
              </w:rPr>
            </w:pPr>
            <w:r w:rsidRPr="001D5159">
              <w:rPr>
                <w:rFonts w:ascii="Calibri" w:hAnsi="Calibri"/>
                <w:b/>
              </w:rPr>
              <w:t>*</w:t>
            </w:r>
            <w:r w:rsidR="007F3CD9" w:rsidRPr="001D5159">
              <w:rPr>
                <w:rFonts w:ascii="Calibri" w:hAnsi="Calibri"/>
                <w:b/>
              </w:rPr>
              <w:t>Deadline for applications</w:t>
            </w:r>
          </w:p>
        </w:tc>
        <w:tc>
          <w:tcPr>
            <w:tcW w:w="7730" w:type="dxa"/>
          </w:tcPr>
          <w:p w14:paraId="489895A8" w14:textId="4CC346AD" w:rsidR="007F3CD9" w:rsidRPr="001D5159" w:rsidRDefault="00574FEC" w:rsidP="00C33F84">
            <w:pPr>
              <w:rPr>
                <w:rFonts w:ascii="Calibri" w:hAnsi="Calibri"/>
              </w:rPr>
            </w:pPr>
            <w:r>
              <w:rPr>
                <w:rFonts w:ascii="Calibri" w:hAnsi="Calibri"/>
              </w:rPr>
              <w:t>January 2022 for DfE applicants, self-funded applicants considered all year round.</w:t>
            </w:r>
          </w:p>
        </w:tc>
      </w:tr>
      <w:tr w:rsidR="007F3CD9" w:rsidRPr="001D5159" w14:paraId="7A487D07" w14:textId="77777777" w:rsidTr="00873281">
        <w:trPr>
          <w:trHeight w:val="444"/>
        </w:trPr>
        <w:tc>
          <w:tcPr>
            <w:tcW w:w="1512" w:type="dxa"/>
            <w:shd w:val="clear" w:color="auto" w:fill="DEEAF6" w:themeFill="accent1" w:themeFillTint="33"/>
          </w:tcPr>
          <w:p w14:paraId="70B884C3"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How to apply / contacts</w:t>
            </w:r>
          </w:p>
        </w:tc>
        <w:tc>
          <w:tcPr>
            <w:tcW w:w="7730" w:type="dxa"/>
          </w:tcPr>
          <w:p w14:paraId="71CA2C71" w14:textId="21F3316D" w:rsidR="007F3CD9" w:rsidRPr="001D5159" w:rsidRDefault="007F3CD9">
            <w:pPr>
              <w:rPr>
                <w:rFonts w:ascii="Calibri" w:hAnsi="Calibri"/>
              </w:rPr>
            </w:pPr>
            <w:r w:rsidRPr="001D5159">
              <w:rPr>
                <w:rFonts w:ascii="Calibri" w:hAnsi="Calibri"/>
              </w:rPr>
              <w:t>Postgraduate Research applicants</w:t>
            </w:r>
            <w:r w:rsidR="007C3A10" w:rsidRPr="001D5159">
              <w:rPr>
                <w:rFonts w:ascii="Calibri" w:hAnsi="Calibri"/>
              </w:rPr>
              <w:t xml:space="preserve"> </w:t>
            </w:r>
            <w:r w:rsidRPr="001D5159">
              <w:rPr>
                <w:rFonts w:ascii="Calibri" w:hAnsi="Calibri"/>
              </w:rPr>
              <w:t xml:space="preserve">must have applied to Queen’s, via </w:t>
            </w:r>
            <w:r w:rsidR="00C33F84">
              <w:rPr>
                <w:rFonts w:ascii="Calibri" w:hAnsi="Calibri"/>
              </w:rPr>
              <w:t>the Direct Applications Portal.</w:t>
            </w:r>
          </w:p>
          <w:p w14:paraId="7417D1C6" w14:textId="77777777" w:rsidR="007F3CD9" w:rsidRPr="001D5159" w:rsidRDefault="007F3CD9">
            <w:pPr>
              <w:rPr>
                <w:rFonts w:ascii="Calibri" w:hAnsi="Calibri"/>
              </w:rPr>
            </w:pPr>
          </w:p>
          <w:p w14:paraId="50D79A55" w14:textId="77777777" w:rsidR="007F3CD9" w:rsidRPr="001D5159" w:rsidRDefault="006D08AA">
            <w:pPr>
              <w:rPr>
                <w:rFonts w:ascii="Calibri" w:hAnsi="Calibri"/>
              </w:rPr>
            </w:pPr>
            <w:hyperlink r:id="rId6" w:history="1">
              <w:r w:rsidR="007F3CD9" w:rsidRPr="001D5159">
                <w:rPr>
                  <w:rStyle w:val="Hyperlink"/>
                  <w:rFonts w:ascii="Calibri" w:hAnsi="Calibri"/>
                </w:rPr>
                <w:t>https://dap.qub.ac.uk/portal/user/u_login.php</w:t>
              </w:r>
            </w:hyperlink>
            <w:r w:rsidR="007F3CD9" w:rsidRPr="001D5159">
              <w:rPr>
                <w:rFonts w:ascii="Calibri" w:hAnsi="Calibri"/>
              </w:rPr>
              <w:t xml:space="preserve"> </w:t>
            </w:r>
            <w:r w:rsidR="007F3CD9" w:rsidRPr="001D5159">
              <w:rPr>
                <w:rFonts w:ascii="Calibri" w:hAnsi="Calibri"/>
              </w:rPr>
              <w:br/>
            </w:r>
          </w:p>
        </w:tc>
      </w:tr>
      <w:tr w:rsidR="007F3CD9" w:rsidRPr="001D5159" w14:paraId="768977FD" w14:textId="77777777" w:rsidTr="00F120B1">
        <w:trPr>
          <w:trHeight w:val="1799"/>
        </w:trPr>
        <w:tc>
          <w:tcPr>
            <w:tcW w:w="1512" w:type="dxa"/>
            <w:shd w:val="clear" w:color="auto" w:fill="DEEAF6" w:themeFill="accent1" w:themeFillTint="33"/>
          </w:tcPr>
          <w:p w14:paraId="49F160B1" w14:textId="77777777" w:rsidR="007F3CD9" w:rsidRPr="001D5159" w:rsidRDefault="007F3CD9">
            <w:pPr>
              <w:rPr>
                <w:rFonts w:ascii="Calibri" w:hAnsi="Calibri"/>
                <w:b/>
              </w:rPr>
            </w:pPr>
            <w:r w:rsidRPr="001D5159">
              <w:rPr>
                <w:rFonts w:ascii="Calibri" w:hAnsi="Calibri"/>
                <w:b/>
              </w:rPr>
              <w:t xml:space="preserve">Relevant links </w:t>
            </w:r>
            <w:r w:rsidR="001B792D" w:rsidRPr="001D5159">
              <w:rPr>
                <w:rFonts w:ascii="Calibri" w:hAnsi="Calibri"/>
                <w:b/>
              </w:rPr>
              <w:t xml:space="preserve">/ more information </w:t>
            </w:r>
          </w:p>
          <w:p w14:paraId="4C17368C" w14:textId="77777777" w:rsidR="007F3CD9" w:rsidRPr="001D5159" w:rsidRDefault="007F3CD9">
            <w:pPr>
              <w:rPr>
                <w:rFonts w:ascii="Calibri" w:hAnsi="Calibri"/>
              </w:rPr>
            </w:pPr>
          </w:p>
        </w:tc>
        <w:tc>
          <w:tcPr>
            <w:tcW w:w="7730" w:type="dxa"/>
          </w:tcPr>
          <w:p w14:paraId="3194874E" w14:textId="77777777" w:rsidR="007F3CD9" w:rsidRPr="001D5159" w:rsidRDefault="007F3CD9">
            <w:pPr>
              <w:rPr>
                <w:rFonts w:ascii="Calibri" w:hAnsi="Calibri"/>
              </w:rPr>
            </w:pPr>
          </w:p>
          <w:p w14:paraId="2A178B23" w14:textId="77777777" w:rsidR="007F3CD9" w:rsidRPr="001D5159" w:rsidRDefault="006D08AA">
            <w:pPr>
              <w:rPr>
                <w:rFonts w:ascii="Calibri" w:hAnsi="Calibri"/>
              </w:rPr>
            </w:pPr>
            <w:hyperlink r:id="rId7" w:history="1">
              <w:r w:rsidR="007C3A10" w:rsidRPr="001D5159">
                <w:rPr>
                  <w:rStyle w:val="Hyperlink"/>
                  <w:rFonts w:ascii="Calibri" w:hAnsi="Calibri"/>
                </w:rPr>
                <w:t>http://www.qub.ac.uk/schools/SchoolofPharmacy/Research/PostgraduatePositions/</w:t>
              </w:r>
            </w:hyperlink>
          </w:p>
          <w:p w14:paraId="64418259" w14:textId="77777777" w:rsidR="007C3A10" w:rsidRPr="001D5159" w:rsidRDefault="007C3A10">
            <w:pPr>
              <w:rPr>
                <w:rFonts w:ascii="Calibri" w:hAnsi="Calibri"/>
              </w:rPr>
            </w:pPr>
          </w:p>
          <w:p w14:paraId="403278DB" w14:textId="77777777" w:rsidR="007C3A10" w:rsidRPr="001D5159" w:rsidRDefault="006D08AA">
            <w:pPr>
              <w:rPr>
                <w:rStyle w:val="Hyperlink"/>
                <w:rFonts w:ascii="Calibri" w:hAnsi="Calibri"/>
              </w:rPr>
            </w:pPr>
            <w:hyperlink r:id="rId8" w:history="1">
              <w:r w:rsidR="007C3A10" w:rsidRPr="001D5159">
                <w:rPr>
                  <w:rStyle w:val="Hyperlink"/>
                  <w:rFonts w:ascii="Calibri" w:hAnsi="Calibri"/>
                </w:rPr>
                <w:t>http://www.qub.ac.uk/schools/SchoolofPharmacy/Research/</w:t>
              </w:r>
            </w:hyperlink>
          </w:p>
          <w:p w14:paraId="1CF021AD" w14:textId="77777777" w:rsidR="00960566" w:rsidRPr="001D5159" w:rsidRDefault="00960566" w:rsidP="00960566">
            <w:pPr>
              <w:rPr>
                <w:rFonts w:ascii="Calibri" w:hAnsi="Calibri"/>
              </w:rPr>
            </w:pPr>
          </w:p>
          <w:p w14:paraId="6B53524E" w14:textId="3A9F269F" w:rsidR="007C3A10" w:rsidRPr="001D5159" w:rsidRDefault="007C3A10">
            <w:pPr>
              <w:rPr>
                <w:rFonts w:ascii="Calibri" w:hAnsi="Calibri"/>
              </w:rPr>
            </w:pPr>
          </w:p>
        </w:tc>
      </w:tr>
      <w:tr w:rsidR="001B792D" w:rsidRPr="001D5159" w14:paraId="047D132B" w14:textId="77777777" w:rsidTr="00873281">
        <w:trPr>
          <w:trHeight w:val="576"/>
        </w:trPr>
        <w:tc>
          <w:tcPr>
            <w:tcW w:w="1512" w:type="dxa"/>
            <w:shd w:val="clear" w:color="auto" w:fill="DEEAF6" w:themeFill="accent1" w:themeFillTint="33"/>
          </w:tcPr>
          <w:p w14:paraId="12CD1648" w14:textId="77777777" w:rsidR="001B792D" w:rsidRPr="001D5159" w:rsidRDefault="001B792D">
            <w:pPr>
              <w:rPr>
                <w:rFonts w:ascii="Calibri" w:hAnsi="Calibri"/>
                <w:b/>
              </w:rPr>
            </w:pPr>
            <w:r w:rsidRPr="001D5159">
              <w:rPr>
                <w:rFonts w:ascii="Calibri" w:hAnsi="Calibri"/>
                <w:b/>
              </w:rPr>
              <w:t>Keywords for search filters</w:t>
            </w:r>
          </w:p>
        </w:tc>
        <w:tc>
          <w:tcPr>
            <w:tcW w:w="7730" w:type="dxa"/>
          </w:tcPr>
          <w:p w14:paraId="60DC74E3" w14:textId="1E6297B6" w:rsidR="001B792D" w:rsidRPr="001D5159" w:rsidRDefault="001E7C56" w:rsidP="0066260E">
            <w:pPr>
              <w:jc w:val="both"/>
              <w:rPr>
                <w:rFonts w:ascii="Calibri" w:hAnsi="Calibri"/>
              </w:rPr>
            </w:pPr>
            <w:r>
              <w:rPr>
                <w:rFonts w:ascii="Calibri" w:hAnsi="Calibri"/>
              </w:rPr>
              <w:t xml:space="preserve">Biomaterials, Medical Device, </w:t>
            </w:r>
            <w:r w:rsidR="00B44A3B">
              <w:rPr>
                <w:rFonts w:ascii="Calibri" w:hAnsi="Calibri"/>
              </w:rPr>
              <w:t xml:space="preserve">Infection, Biofilm, Inflammation, Immunomodulatory, </w:t>
            </w:r>
            <w:r w:rsidR="001D2528">
              <w:rPr>
                <w:rFonts w:ascii="Calibri" w:hAnsi="Calibri"/>
              </w:rPr>
              <w:t>Implant, Regenerative Medicine</w:t>
            </w:r>
          </w:p>
        </w:tc>
      </w:tr>
      <w:tr w:rsidR="001B792D" w:rsidRPr="001D5159" w14:paraId="0AC7B4C0" w14:textId="77777777" w:rsidTr="00873281">
        <w:trPr>
          <w:trHeight w:val="470"/>
        </w:trPr>
        <w:tc>
          <w:tcPr>
            <w:tcW w:w="1512" w:type="dxa"/>
            <w:shd w:val="clear" w:color="auto" w:fill="DEEAF6" w:themeFill="accent1" w:themeFillTint="33"/>
          </w:tcPr>
          <w:p w14:paraId="4D54FEE9" w14:textId="77777777" w:rsidR="001B792D" w:rsidRPr="001D5159" w:rsidRDefault="001B792D">
            <w:pPr>
              <w:rPr>
                <w:rFonts w:ascii="Calibri" w:hAnsi="Calibri"/>
                <w:b/>
              </w:rPr>
            </w:pPr>
            <w:r w:rsidRPr="001D5159">
              <w:rPr>
                <w:rFonts w:ascii="Calibri" w:hAnsi="Calibri"/>
                <w:b/>
              </w:rPr>
              <w:t>Training provided through the research project</w:t>
            </w:r>
          </w:p>
        </w:tc>
        <w:tc>
          <w:tcPr>
            <w:tcW w:w="7730" w:type="dxa"/>
          </w:tcPr>
          <w:p w14:paraId="3D9C554A" w14:textId="2CD2AA8A" w:rsidR="00090D75" w:rsidRDefault="002C374D" w:rsidP="0066260E">
            <w:pPr>
              <w:jc w:val="both"/>
              <w:rPr>
                <w:rFonts w:ascii="Calibri" w:hAnsi="Calibri"/>
              </w:rPr>
            </w:pPr>
            <w:r>
              <w:rPr>
                <w:rFonts w:ascii="Calibri" w:hAnsi="Calibri"/>
              </w:rPr>
              <w:t xml:space="preserve">PhD programmes at Queen’s University Belfast are intended from the outset to include extensive </w:t>
            </w:r>
            <w:r w:rsidR="005B0C2D">
              <w:rPr>
                <w:rFonts w:ascii="Calibri" w:hAnsi="Calibri"/>
              </w:rPr>
              <w:t>training in modern research methods, and students are encouraged to make good use of the many excellent</w:t>
            </w:r>
            <w:r w:rsidR="00AE57C2">
              <w:rPr>
                <w:rFonts w:ascii="Calibri" w:hAnsi="Calibri"/>
              </w:rPr>
              <w:t xml:space="preserve"> courses run by the QUB Graduate School. This project will help the student develop the key skills and knowledge that will make them</w:t>
            </w:r>
            <w:r w:rsidR="00655B2F">
              <w:rPr>
                <w:rFonts w:ascii="Calibri" w:hAnsi="Calibri"/>
              </w:rPr>
              <w:t xml:space="preserve"> highly attractive for employment in the medical devices industry.</w:t>
            </w:r>
            <w:r w:rsidR="00100274">
              <w:rPr>
                <w:rFonts w:ascii="Calibri" w:hAnsi="Calibri"/>
              </w:rPr>
              <w:t xml:space="preserve"> </w:t>
            </w:r>
            <w:r w:rsidR="00100274">
              <w:rPr>
                <w:rFonts w:ascii="Calibri" w:hAnsi="Calibri"/>
              </w:rPr>
              <w:t>The student will be trained in a multidisciplinary environment and follow a personal development plan (PDP).</w:t>
            </w:r>
          </w:p>
          <w:p w14:paraId="50C40384" w14:textId="01BCA897" w:rsidR="00090D75" w:rsidRPr="001D5159" w:rsidRDefault="00090D75" w:rsidP="00090D75">
            <w:pPr>
              <w:jc w:val="both"/>
              <w:rPr>
                <w:rFonts w:ascii="Calibri" w:hAnsi="Calibri"/>
              </w:rPr>
            </w:pPr>
          </w:p>
        </w:tc>
      </w:tr>
      <w:tr w:rsidR="001B792D" w:rsidRPr="001D5159" w14:paraId="35AA849E" w14:textId="77777777" w:rsidTr="00873281">
        <w:trPr>
          <w:trHeight w:val="470"/>
        </w:trPr>
        <w:tc>
          <w:tcPr>
            <w:tcW w:w="1512" w:type="dxa"/>
            <w:shd w:val="clear" w:color="auto" w:fill="DEEAF6" w:themeFill="accent1" w:themeFillTint="33"/>
          </w:tcPr>
          <w:p w14:paraId="2A6DDC67" w14:textId="77777777" w:rsidR="001B792D" w:rsidRPr="001D5159" w:rsidRDefault="001B792D">
            <w:pPr>
              <w:rPr>
                <w:rFonts w:ascii="Calibri" w:hAnsi="Calibri"/>
                <w:b/>
              </w:rPr>
            </w:pPr>
            <w:r w:rsidRPr="001D5159">
              <w:rPr>
                <w:rFonts w:ascii="Calibri" w:hAnsi="Calibri"/>
                <w:b/>
              </w:rPr>
              <w:t>Expected impact activities</w:t>
            </w:r>
          </w:p>
        </w:tc>
        <w:tc>
          <w:tcPr>
            <w:tcW w:w="7730" w:type="dxa"/>
          </w:tcPr>
          <w:p w14:paraId="256FC499" w14:textId="77777777" w:rsidR="001B792D" w:rsidRDefault="00100274" w:rsidP="0066260E">
            <w:pPr>
              <w:jc w:val="both"/>
              <w:rPr>
                <w:rFonts w:ascii="Calibri" w:hAnsi="Calibri"/>
              </w:rPr>
            </w:pPr>
            <w:r>
              <w:rPr>
                <w:rFonts w:ascii="Calibri" w:hAnsi="Calibri"/>
              </w:rPr>
              <w:t xml:space="preserve">The student will be provided with the opportunity to disseminate their work </w:t>
            </w:r>
            <w:r w:rsidR="00201D96">
              <w:rPr>
                <w:rFonts w:ascii="Calibri" w:hAnsi="Calibri"/>
              </w:rPr>
              <w:t>through high quality journal outputs, and by participation at national and international conferences.</w:t>
            </w:r>
            <w:r w:rsidR="00950AFC">
              <w:rPr>
                <w:rFonts w:ascii="Calibri" w:hAnsi="Calibri"/>
              </w:rPr>
              <w:t xml:space="preserve"> </w:t>
            </w:r>
          </w:p>
          <w:p w14:paraId="6801D399" w14:textId="77777777" w:rsidR="00950AFC" w:rsidRDefault="00950AFC" w:rsidP="0066260E">
            <w:pPr>
              <w:jc w:val="both"/>
              <w:rPr>
                <w:rFonts w:ascii="Calibri" w:hAnsi="Calibri"/>
              </w:rPr>
            </w:pPr>
          </w:p>
          <w:p w14:paraId="53AD2D2A" w14:textId="6D84A5BE" w:rsidR="00950AFC" w:rsidRPr="001D5159" w:rsidRDefault="00950AFC" w:rsidP="0066260E">
            <w:pPr>
              <w:jc w:val="both"/>
              <w:rPr>
                <w:rFonts w:ascii="Calibri" w:hAnsi="Calibri"/>
              </w:rPr>
            </w:pPr>
            <w:r>
              <w:rPr>
                <w:rFonts w:ascii="Calibri" w:hAnsi="Calibri"/>
              </w:rPr>
              <w:t xml:space="preserve">The project will further develop the </w:t>
            </w:r>
            <w:r w:rsidR="008E119C">
              <w:rPr>
                <w:rFonts w:ascii="Calibri" w:hAnsi="Calibri"/>
              </w:rPr>
              <w:t xml:space="preserve">knowledge and understanding of </w:t>
            </w:r>
            <w:r w:rsidR="00755BE9">
              <w:rPr>
                <w:rFonts w:ascii="Calibri" w:hAnsi="Calibri"/>
              </w:rPr>
              <w:t>in</w:t>
            </w:r>
            <w:r w:rsidR="008E119C">
              <w:rPr>
                <w:rFonts w:ascii="Calibri" w:hAnsi="Calibri"/>
              </w:rPr>
              <w:t xml:space="preserve"> research area, </w:t>
            </w:r>
            <w:r w:rsidR="00755BE9">
              <w:rPr>
                <w:rFonts w:ascii="Calibri" w:hAnsi="Calibri"/>
              </w:rPr>
              <w:t>translating</w:t>
            </w:r>
            <w:r w:rsidR="008E119C">
              <w:rPr>
                <w:rFonts w:ascii="Calibri" w:hAnsi="Calibri"/>
              </w:rPr>
              <w:t xml:space="preserve"> </w:t>
            </w:r>
            <w:r w:rsidR="00ED72F0">
              <w:rPr>
                <w:rFonts w:ascii="Calibri" w:hAnsi="Calibri"/>
              </w:rPr>
              <w:t>in</w:t>
            </w:r>
            <w:r w:rsidR="008E119C">
              <w:rPr>
                <w:rFonts w:ascii="Calibri" w:hAnsi="Calibri"/>
              </w:rPr>
              <w:t xml:space="preserve"> the development of innovative biomaterials that ultimately improve </w:t>
            </w:r>
            <w:r w:rsidR="00755BE9">
              <w:rPr>
                <w:rFonts w:ascii="Calibri" w:hAnsi="Calibri"/>
              </w:rPr>
              <w:t>healthcare outcomes.</w:t>
            </w:r>
          </w:p>
        </w:tc>
      </w:tr>
    </w:tbl>
    <w:p w14:paraId="69AE6B80" w14:textId="77777777" w:rsidR="00375356" w:rsidRPr="001D5159" w:rsidRDefault="00375356">
      <w:pPr>
        <w:rPr>
          <w:rFonts w:ascii="Calibri" w:hAnsi="Calibri"/>
        </w:rPr>
      </w:pPr>
    </w:p>
    <w:sectPr w:rsidR="00375356" w:rsidRPr="001D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0375"/>
    <w:rsid w:val="00001543"/>
    <w:rsid w:val="00002F77"/>
    <w:rsid w:val="00012915"/>
    <w:rsid w:val="000140E0"/>
    <w:rsid w:val="00017B3A"/>
    <w:rsid w:val="000211E7"/>
    <w:rsid w:val="00036AC1"/>
    <w:rsid w:val="0006730B"/>
    <w:rsid w:val="0007487E"/>
    <w:rsid w:val="00074FC2"/>
    <w:rsid w:val="00076683"/>
    <w:rsid w:val="0008106D"/>
    <w:rsid w:val="00087903"/>
    <w:rsid w:val="00090D75"/>
    <w:rsid w:val="00093ED6"/>
    <w:rsid w:val="000976C2"/>
    <w:rsid w:val="000A78A3"/>
    <w:rsid w:val="000B1968"/>
    <w:rsid w:val="000B5232"/>
    <w:rsid w:val="000B5533"/>
    <w:rsid w:val="000B6594"/>
    <w:rsid w:val="000C6238"/>
    <w:rsid w:val="000D526E"/>
    <w:rsid w:val="000F0B0E"/>
    <w:rsid w:val="000F380D"/>
    <w:rsid w:val="000F550F"/>
    <w:rsid w:val="000F6B4D"/>
    <w:rsid w:val="000F6C8E"/>
    <w:rsid w:val="00100274"/>
    <w:rsid w:val="00100C14"/>
    <w:rsid w:val="00114809"/>
    <w:rsid w:val="001162F2"/>
    <w:rsid w:val="001215F1"/>
    <w:rsid w:val="00125BB4"/>
    <w:rsid w:val="001262AC"/>
    <w:rsid w:val="00127B6D"/>
    <w:rsid w:val="00131E69"/>
    <w:rsid w:val="0013226E"/>
    <w:rsid w:val="00136716"/>
    <w:rsid w:val="00136A7C"/>
    <w:rsid w:val="0014119A"/>
    <w:rsid w:val="00147201"/>
    <w:rsid w:val="00152845"/>
    <w:rsid w:val="00152DAA"/>
    <w:rsid w:val="00152DD3"/>
    <w:rsid w:val="00152E17"/>
    <w:rsid w:val="00156ABB"/>
    <w:rsid w:val="00157E70"/>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2528"/>
    <w:rsid w:val="001D5159"/>
    <w:rsid w:val="001D5A77"/>
    <w:rsid w:val="001E0C79"/>
    <w:rsid w:val="001E10DB"/>
    <w:rsid w:val="001E59D3"/>
    <w:rsid w:val="001E6AE7"/>
    <w:rsid w:val="001E7C56"/>
    <w:rsid w:val="001F273F"/>
    <w:rsid w:val="001F700A"/>
    <w:rsid w:val="0020192E"/>
    <w:rsid w:val="00201D96"/>
    <w:rsid w:val="0020699C"/>
    <w:rsid w:val="00211ADC"/>
    <w:rsid w:val="0023305E"/>
    <w:rsid w:val="00234A97"/>
    <w:rsid w:val="002438AA"/>
    <w:rsid w:val="0024565D"/>
    <w:rsid w:val="00257E72"/>
    <w:rsid w:val="002663D0"/>
    <w:rsid w:val="002679A5"/>
    <w:rsid w:val="00270CA4"/>
    <w:rsid w:val="00275E36"/>
    <w:rsid w:val="00276A24"/>
    <w:rsid w:val="00286380"/>
    <w:rsid w:val="002A0180"/>
    <w:rsid w:val="002A22B2"/>
    <w:rsid w:val="002A6F4F"/>
    <w:rsid w:val="002B644E"/>
    <w:rsid w:val="002B6455"/>
    <w:rsid w:val="002C1BB6"/>
    <w:rsid w:val="002C374D"/>
    <w:rsid w:val="002E0374"/>
    <w:rsid w:val="002E6701"/>
    <w:rsid w:val="002F06D8"/>
    <w:rsid w:val="002F38B4"/>
    <w:rsid w:val="002F3A2A"/>
    <w:rsid w:val="002F3D8F"/>
    <w:rsid w:val="00300B77"/>
    <w:rsid w:val="00303DAB"/>
    <w:rsid w:val="00312241"/>
    <w:rsid w:val="003125A1"/>
    <w:rsid w:val="00315F1B"/>
    <w:rsid w:val="00322E90"/>
    <w:rsid w:val="0034159F"/>
    <w:rsid w:val="003418CF"/>
    <w:rsid w:val="00342E0B"/>
    <w:rsid w:val="003437FB"/>
    <w:rsid w:val="00346EA7"/>
    <w:rsid w:val="00347872"/>
    <w:rsid w:val="00353B81"/>
    <w:rsid w:val="00367068"/>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075D"/>
    <w:rsid w:val="003E3D1A"/>
    <w:rsid w:val="003E4D9E"/>
    <w:rsid w:val="003F5DA8"/>
    <w:rsid w:val="003F716D"/>
    <w:rsid w:val="00403319"/>
    <w:rsid w:val="0040602C"/>
    <w:rsid w:val="00407ED6"/>
    <w:rsid w:val="00420A13"/>
    <w:rsid w:val="0043514D"/>
    <w:rsid w:val="00437BE9"/>
    <w:rsid w:val="00452039"/>
    <w:rsid w:val="004658F1"/>
    <w:rsid w:val="0047023E"/>
    <w:rsid w:val="0047276F"/>
    <w:rsid w:val="00474150"/>
    <w:rsid w:val="00480978"/>
    <w:rsid w:val="00480D4A"/>
    <w:rsid w:val="0048607D"/>
    <w:rsid w:val="004874AA"/>
    <w:rsid w:val="00495498"/>
    <w:rsid w:val="004A4702"/>
    <w:rsid w:val="004C23B6"/>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0AEB"/>
    <w:rsid w:val="00541A46"/>
    <w:rsid w:val="00550AAE"/>
    <w:rsid w:val="00553AB1"/>
    <w:rsid w:val="0056009A"/>
    <w:rsid w:val="00567EBE"/>
    <w:rsid w:val="00571B6D"/>
    <w:rsid w:val="00574FEC"/>
    <w:rsid w:val="0058648B"/>
    <w:rsid w:val="005A4DBD"/>
    <w:rsid w:val="005B0C2D"/>
    <w:rsid w:val="005B1A39"/>
    <w:rsid w:val="005B5E39"/>
    <w:rsid w:val="005B7F83"/>
    <w:rsid w:val="005D1843"/>
    <w:rsid w:val="005D4DF9"/>
    <w:rsid w:val="005E19CD"/>
    <w:rsid w:val="005F2741"/>
    <w:rsid w:val="005F301D"/>
    <w:rsid w:val="00636529"/>
    <w:rsid w:val="00636A02"/>
    <w:rsid w:val="0064028D"/>
    <w:rsid w:val="00640638"/>
    <w:rsid w:val="0064387C"/>
    <w:rsid w:val="00655B2F"/>
    <w:rsid w:val="00656476"/>
    <w:rsid w:val="00657EC8"/>
    <w:rsid w:val="0066260E"/>
    <w:rsid w:val="0066316A"/>
    <w:rsid w:val="00663A1A"/>
    <w:rsid w:val="006815A5"/>
    <w:rsid w:val="00695F66"/>
    <w:rsid w:val="006977CC"/>
    <w:rsid w:val="006B2D8B"/>
    <w:rsid w:val="006B5E92"/>
    <w:rsid w:val="006C2131"/>
    <w:rsid w:val="006C5676"/>
    <w:rsid w:val="006C60CA"/>
    <w:rsid w:val="006C6439"/>
    <w:rsid w:val="006C7069"/>
    <w:rsid w:val="006C778B"/>
    <w:rsid w:val="006D08AA"/>
    <w:rsid w:val="006D1994"/>
    <w:rsid w:val="006E4E27"/>
    <w:rsid w:val="006F3BF0"/>
    <w:rsid w:val="006F6EA4"/>
    <w:rsid w:val="00703E40"/>
    <w:rsid w:val="00704886"/>
    <w:rsid w:val="00720F2B"/>
    <w:rsid w:val="007268FC"/>
    <w:rsid w:val="00727F85"/>
    <w:rsid w:val="007347D4"/>
    <w:rsid w:val="007523AE"/>
    <w:rsid w:val="00755BE9"/>
    <w:rsid w:val="0075794A"/>
    <w:rsid w:val="00757A63"/>
    <w:rsid w:val="007627E0"/>
    <w:rsid w:val="0076752E"/>
    <w:rsid w:val="0077082C"/>
    <w:rsid w:val="00771690"/>
    <w:rsid w:val="00771E79"/>
    <w:rsid w:val="0077245E"/>
    <w:rsid w:val="00776188"/>
    <w:rsid w:val="00781A8B"/>
    <w:rsid w:val="00781ED6"/>
    <w:rsid w:val="00782E09"/>
    <w:rsid w:val="00793FA5"/>
    <w:rsid w:val="007A6312"/>
    <w:rsid w:val="007B185B"/>
    <w:rsid w:val="007B1FB4"/>
    <w:rsid w:val="007B2C32"/>
    <w:rsid w:val="007B2E3E"/>
    <w:rsid w:val="007B515E"/>
    <w:rsid w:val="007B5CF8"/>
    <w:rsid w:val="007B6E4A"/>
    <w:rsid w:val="007C3A10"/>
    <w:rsid w:val="007D2A36"/>
    <w:rsid w:val="007E0D0E"/>
    <w:rsid w:val="007E1054"/>
    <w:rsid w:val="007E6E7C"/>
    <w:rsid w:val="007F3B9F"/>
    <w:rsid w:val="007F3CD9"/>
    <w:rsid w:val="007F7C74"/>
    <w:rsid w:val="008022E0"/>
    <w:rsid w:val="0081399F"/>
    <w:rsid w:val="00821CE6"/>
    <w:rsid w:val="00823089"/>
    <w:rsid w:val="00835A1C"/>
    <w:rsid w:val="00836A05"/>
    <w:rsid w:val="0085153F"/>
    <w:rsid w:val="00854482"/>
    <w:rsid w:val="0085462F"/>
    <w:rsid w:val="00862594"/>
    <w:rsid w:val="0087029C"/>
    <w:rsid w:val="00873281"/>
    <w:rsid w:val="00876D33"/>
    <w:rsid w:val="00880D9A"/>
    <w:rsid w:val="0088290A"/>
    <w:rsid w:val="00884B0B"/>
    <w:rsid w:val="0088648A"/>
    <w:rsid w:val="0089003B"/>
    <w:rsid w:val="00890EB8"/>
    <w:rsid w:val="008937DE"/>
    <w:rsid w:val="00893C50"/>
    <w:rsid w:val="00897BAA"/>
    <w:rsid w:val="008A002F"/>
    <w:rsid w:val="008B1ADC"/>
    <w:rsid w:val="008C083D"/>
    <w:rsid w:val="008E119C"/>
    <w:rsid w:val="008F1C24"/>
    <w:rsid w:val="00901CF2"/>
    <w:rsid w:val="00911493"/>
    <w:rsid w:val="00916D3D"/>
    <w:rsid w:val="00925FA3"/>
    <w:rsid w:val="009279B9"/>
    <w:rsid w:val="009453CE"/>
    <w:rsid w:val="00950AFC"/>
    <w:rsid w:val="0095334C"/>
    <w:rsid w:val="00956BE2"/>
    <w:rsid w:val="00957551"/>
    <w:rsid w:val="00960566"/>
    <w:rsid w:val="00981E1C"/>
    <w:rsid w:val="00982267"/>
    <w:rsid w:val="00982CC7"/>
    <w:rsid w:val="00983AD0"/>
    <w:rsid w:val="00991636"/>
    <w:rsid w:val="00993573"/>
    <w:rsid w:val="00996932"/>
    <w:rsid w:val="009B03F1"/>
    <w:rsid w:val="009B569A"/>
    <w:rsid w:val="009D2BCC"/>
    <w:rsid w:val="009D483E"/>
    <w:rsid w:val="009D4AE3"/>
    <w:rsid w:val="009F0F1A"/>
    <w:rsid w:val="009F4EDF"/>
    <w:rsid w:val="00A00B98"/>
    <w:rsid w:val="00A0196B"/>
    <w:rsid w:val="00A05C2D"/>
    <w:rsid w:val="00A131B2"/>
    <w:rsid w:val="00A14FEA"/>
    <w:rsid w:val="00A24586"/>
    <w:rsid w:val="00A2502A"/>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E57C2"/>
    <w:rsid w:val="00AF1612"/>
    <w:rsid w:val="00AF3133"/>
    <w:rsid w:val="00B000F1"/>
    <w:rsid w:val="00B030A3"/>
    <w:rsid w:val="00B07BDF"/>
    <w:rsid w:val="00B1507C"/>
    <w:rsid w:val="00B160F9"/>
    <w:rsid w:val="00B16E01"/>
    <w:rsid w:val="00B21B3C"/>
    <w:rsid w:val="00B27846"/>
    <w:rsid w:val="00B359EF"/>
    <w:rsid w:val="00B363F2"/>
    <w:rsid w:val="00B40805"/>
    <w:rsid w:val="00B40C54"/>
    <w:rsid w:val="00B42F58"/>
    <w:rsid w:val="00B44A3B"/>
    <w:rsid w:val="00B44FF9"/>
    <w:rsid w:val="00B47154"/>
    <w:rsid w:val="00B50BAC"/>
    <w:rsid w:val="00B55E28"/>
    <w:rsid w:val="00B6354C"/>
    <w:rsid w:val="00B703CE"/>
    <w:rsid w:val="00B937DC"/>
    <w:rsid w:val="00BA71ED"/>
    <w:rsid w:val="00BA75A3"/>
    <w:rsid w:val="00BB6F08"/>
    <w:rsid w:val="00BC2944"/>
    <w:rsid w:val="00BC3878"/>
    <w:rsid w:val="00BE032B"/>
    <w:rsid w:val="00BE346B"/>
    <w:rsid w:val="00BF08BD"/>
    <w:rsid w:val="00BF17EC"/>
    <w:rsid w:val="00BF40B7"/>
    <w:rsid w:val="00BF4B26"/>
    <w:rsid w:val="00BF57DC"/>
    <w:rsid w:val="00C12418"/>
    <w:rsid w:val="00C2183A"/>
    <w:rsid w:val="00C263B0"/>
    <w:rsid w:val="00C315D7"/>
    <w:rsid w:val="00C31A8A"/>
    <w:rsid w:val="00C33F84"/>
    <w:rsid w:val="00C3441B"/>
    <w:rsid w:val="00C35113"/>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4D50"/>
    <w:rsid w:val="00CE1429"/>
    <w:rsid w:val="00CE16CA"/>
    <w:rsid w:val="00CE50BE"/>
    <w:rsid w:val="00CE6CFB"/>
    <w:rsid w:val="00D00807"/>
    <w:rsid w:val="00D0311E"/>
    <w:rsid w:val="00D063DA"/>
    <w:rsid w:val="00D113D5"/>
    <w:rsid w:val="00D11B48"/>
    <w:rsid w:val="00D1708D"/>
    <w:rsid w:val="00D23483"/>
    <w:rsid w:val="00D31D29"/>
    <w:rsid w:val="00D367BF"/>
    <w:rsid w:val="00D5030D"/>
    <w:rsid w:val="00D5690F"/>
    <w:rsid w:val="00D57854"/>
    <w:rsid w:val="00D64E36"/>
    <w:rsid w:val="00D804A3"/>
    <w:rsid w:val="00D80D41"/>
    <w:rsid w:val="00D82FEF"/>
    <w:rsid w:val="00D84A9F"/>
    <w:rsid w:val="00D91A1F"/>
    <w:rsid w:val="00DA1273"/>
    <w:rsid w:val="00DA3F99"/>
    <w:rsid w:val="00DB009E"/>
    <w:rsid w:val="00DB437C"/>
    <w:rsid w:val="00DB450E"/>
    <w:rsid w:val="00DB709B"/>
    <w:rsid w:val="00DC5B83"/>
    <w:rsid w:val="00DD1D77"/>
    <w:rsid w:val="00DD6932"/>
    <w:rsid w:val="00DF148B"/>
    <w:rsid w:val="00E11BB2"/>
    <w:rsid w:val="00E1277F"/>
    <w:rsid w:val="00E166B5"/>
    <w:rsid w:val="00E177D8"/>
    <w:rsid w:val="00E2148C"/>
    <w:rsid w:val="00E27D11"/>
    <w:rsid w:val="00E35E2D"/>
    <w:rsid w:val="00E36870"/>
    <w:rsid w:val="00E41AE4"/>
    <w:rsid w:val="00E44D18"/>
    <w:rsid w:val="00E471FE"/>
    <w:rsid w:val="00E5373D"/>
    <w:rsid w:val="00E55956"/>
    <w:rsid w:val="00E618A6"/>
    <w:rsid w:val="00E62BE0"/>
    <w:rsid w:val="00E720D9"/>
    <w:rsid w:val="00E721FA"/>
    <w:rsid w:val="00E731E0"/>
    <w:rsid w:val="00E76C26"/>
    <w:rsid w:val="00E93C8B"/>
    <w:rsid w:val="00EA02F6"/>
    <w:rsid w:val="00EA0D01"/>
    <w:rsid w:val="00EA70C2"/>
    <w:rsid w:val="00EC4DE0"/>
    <w:rsid w:val="00EC505E"/>
    <w:rsid w:val="00ED21A7"/>
    <w:rsid w:val="00ED5C21"/>
    <w:rsid w:val="00ED72F0"/>
    <w:rsid w:val="00EE11D1"/>
    <w:rsid w:val="00EE14CB"/>
    <w:rsid w:val="00EE3B21"/>
    <w:rsid w:val="00EE5C5D"/>
    <w:rsid w:val="00EE693D"/>
    <w:rsid w:val="00EF23A4"/>
    <w:rsid w:val="00EF271B"/>
    <w:rsid w:val="00F1151C"/>
    <w:rsid w:val="00F11771"/>
    <w:rsid w:val="00F120B1"/>
    <w:rsid w:val="00F2645B"/>
    <w:rsid w:val="00F276FA"/>
    <w:rsid w:val="00F333AB"/>
    <w:rsid w:val="00F376E8"/>
    <w:rsid w:val="00F45400"/>
    <w:rsid w:val="00F52902"/>
    <w:rsid w:val="00F53AD2"/>
    <w:rsid w:val="00F61002"/>
    <w:rsid w:val="00F74680"/>
    <w:rsid w:val="00F76DAC"/>
    <w:rsid w:val="00F81886"/>
    <w:rsid w:val="00F8266B"/>
    <w:rsid w:val="00F82BDB"/>
    <w:rsid w:val="00F848EA"/>
    <w:rsid w:val="00F90DB4"/>
    <w:rsid w:val="00FB1B0D"/>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customStyle="1" w:styleId="nowrap">
    <w:name w:val="nowrap"/>
    <w:basedOn w:val="DefaultParagraphFont"/>
    <w:rsid w:val="00E93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4954">
      <w:bodyDiv w:val="1"/>
      <w:marLeft w:val="0"/>
      <w:marRight w:val="0"/>
      <w:marTop w:val="0"/>
      <w:marBottom w:val="0"/>
      <w:divBdr>
        <w:top w:val="none" w:sz="0" w:space="0" w:color="auto"/>
        <w:left w:val="none" w:sz="0" w:space="0" w:color="auto"/>
        <w:bottom w:val="none" w:sz="0" w:space="0" w:color="auto"/>
        <w:right w:val="none" w:sz="0" w:space="0" w:color="auto"/>
      </w:divBdr>
    </w:div>
    <w:div w:id="1121680745">
      <w:bodyDiv w:val="1"/>
      <w:marLeft w:val="0"/>
      <w:marRight w:val="0"/>
      <w:marTop w:val="0"/>
      <w:marBottom w:val="0"/>
      <w:divBdr>
        <w:top w:val="none" w:sz="0" w:space="0" w:color="auto"/>
        <w:left w:val="none" w:sz="0" w:space="0" w:color="auto"/>
        <w:bottom w:val="none" w:sz="0" w:space="0" w:color="auto"/>
        <w:right w:val="none" w:sz="0" w:space="0" w:color="auto"/>
      </w:divBdr>
    </w:div>
    <w:div w:id="1226381444">
      <w:bodyDiv w:val="1"/>
      <w:marLeft w:val="0"/>
      <w:marRight w:val="0"/>
      <w:marTop w:val="0"/>
      <w:marBottom w:val="0"/>
      <w:divBdr>
        <w:top w:val="none" w:sz="0" w:space="0" w:color="auto"/>
        <w:left w:val="none" w:sz="0" w:space="0" w:color="auto"/>
        <w:bottom w:val="none" w:sz="0" w:space="0" w:color="auto"/>
        <w:right w:val="none" w:sz="0" w:space="0" w:color="auto"/>
      </w:divBdr>
    </w:div>
    <w:div w:id="1338776529">
      <w:bodyDiv w:val="1"/>
      <w:marLeft w:val="0"/>
      <w:marRight w:val="0"/>
      <w:marTop w:val="0"/>
      <w:marBottom w:val="0"/>
      <w:divBdr>
        <w:top w:val="none" w:sz="0" w:space="0" w:color="auto"/>
        <w:left w:val="none" w:sz="0" w:space="0" w:color="auto"/>
        <w:bottom w:val="none" w:sz="0" w:space="0" w:color="auto"/>
        <w:right w:val="none" w:sz="0" w:space="0" w:color="auto"/>
      </w:divBdr>
    </w:div>
    <w:div w:id="1526870119">
      <w:bodyDiv w:val="1"/>
      <w:marLeft w:val="0"/>
      <w:marRight w:val="0"/>
      <w:marTop w:val="0"/>
      <w:marBottom w:val="0"/>
      <w:divBdr>
        <w:top w:val="none" w:sz="0" w:space="0" w:color="auto"/>
        <w:left w:val="none" w:sz="0" w:space="0" w:color="auto"/>
        <w:bottom w:val="none" w:sz="0" w:space="0" w:color="auto"/>
        <w:right w:val="none" w:sz="0" w:space="0" w:color="auto"/>
      </w:divBdr>
      <w:divsChild>
        <w:div w:id="1062371036">
          <w:marLeft w:val="0"/>
          <w:marRight w:val="0"/>
          <w:marTop w:val="0"/>
          <w:marBottom w:val="0"/>
          <w:divBdr>
            <w:top w:val="none" w:sz="0" w:space="0" w:color="auto"/>
            <w:left w:val="none" w:sz="0" w:space="0" w:color="auto"/>
            <w:bottom w:val="none" w:sz="0" w:space="0" w:color="auto"/>
            <w:right w:val="none" w:sz="0" w:space="0" w:color="auto"/>
          </w:divBdr>
          <w:divsChild>
            <w:div w:id="986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268">
      <w:bodyDiv w:val="1"/>
      <w:marLeft w:val="0"/>
      <w:marRight w:val="0"/>
      <w:marTop w:val="0"/>
      <w:marBottom w:val="0"/>
      <w:divBdr>
        <w:top w:val="none" w:sz="0" w:space="0" w:color="auto"/>
        <w:left w:val="none" w:sz="0" w:space="0" w:color="auto"/>
        <w:bottom w:val="none" w:sz="0" w:space="0" w:color="auto"/>
        <w:right w:val="none" w:sz="0" w:space="0" w:color="auto"/>
      </w:divBdr>
    </w:div>
    <w:div w:id="1936473808">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 TargetMode="External"/><Relationship Id="rId3" Type="http://schemas.openxmlformats.org/officeDocument/2006/relationships/settings" Target="settings.xml"/><Relationship Id="rId7" Type="http://schemas.openxmlformats.org/officeDocument/2006/relationships/hyperlink" Target="http://www.qub.ac.uk/schools/SchoolofPharmacy/Research/PostgraduatePos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p.qub.ac.uk/portal/user/u_login.php"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Louise Carson</cp:lastModifiedBy>
  <cp:revision>24</cp:revision>
  <cp:lastPrinted>2018-11-27T21:36:00Z</cp:lastPrinted>
  <dcterms:created xsi:type="dcterms:W3CDTF">2021-10-22T11:23:00Z</dcterms:created>
  <dcterms:modified xsi:type="dcterms:W3CDTF">2021-10-22T11:53:00Z</dcterms:modified>
</cp:coreProperties>
</file>