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25A4" w14:textId="77777777" w:rsidR="00D71356" w:rsidRDefault="00495498" w:rsidP="00D71356">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242" w:type="dxa"/>
        <w:tblLook w:val="04A0" w:firstRow="1" w:lastRow="0" w:firstColumn="1" w:lastColumn="0" w:noHBand="0" w:noVBand="1"/>
      </w:tblPr>
      <w:tblGrid>
        <w:gridCol w:w="1522"/>
        <w:gridCol w:w="7789"/>
      </w:tblGrid>
      <w:tr w:rsidR="00D71356" w14:paraId="66DE7169" w14:textId="77777777" w:rsidTr="00144906">
        <w:trPr>
          <w:trHeight w:val="470"/>
        </w:trPr>
        <w:tc>
          <w:tcPr>
            <w:tcW w:w="1512" w:type="dxa"/>
            <w:shd w:val="clear" w:color="auto" w:fill="DEEAF6" w:themeFill="accent1" w:themeFillTint="33"/>
          </w:tcPr>
          <w:p w14:paraId="4B60D3C7" w14:textId="77777777" w:rsidR="00D71356" w:rsidRPr="007F3CD9" w:rsidRDefault="00D71356" w:rsidP="00144906">
            <w:pPr>
              <w:rPr>
                <w:b/>
              </w:rPr>
            </w:pPr>
            <w:r>
              <w:rPr>
                <w:b/>
              </w:rPr>
              <w:t>*</w:t>
            </w:r>
            <w:r w:rsidRPr="007F3CD9">
              <w:rPr>
                <w:b/>
              </w:rPr>
              <w:t>Title of studentship</w:t>
            </w:r>
          </w:p>
        </w:tc>
        <w:tc>
          <w:tcPr>
            <w:tcW w:w="7730" w:type="dxa"/>
          </w:tcPr>
          <w:p w14:paraId="5CA952E8" w14:textId="38DFE04A" w:rsidR="00D71356" w:rsidRPr="004D4D51" w:rsidRDefault="00D71356" w:rsidP="00144906">
            <w:pPr>
              <w:rPr>
                <w:rFonts w:cs="Arial"/>
                <w:bCs/>
              </w:rPr>
            </w:pPr>
            <w:r w:rsidRPr="004D4D51">
              <w:rPr>
                <w:rFonts w:cs="Arial"/>
                <w:bCs/>
              </w:rPr>
              <w:t>Relationship between antibiotic therapy and development of antimicrobial resistance in patients with bronchiectasis</w:t>
            </w:r>
            <w:r>
              <w:rPr>
                <w:rFonts w:cs="Arial"/>
                <w:bCs/>
              </w:rPr>
              <w:t xml:space="preserve"> and COPD</w:t>
            </w:r>
          </w:p>
        </w:tc>
      </w:tr>
      <w:tr w:rsidR="00D71356" w14:paraId="7861556C" w14:textId="77777777" w:rsidTr="00144906">
        <w:trPr>
          <w:trHeight w:val="444"/>
        </w:trPr>
        <w:tc>
          <w:tcPr>
            <w:tcW w:w="1512" w:type="dxa"/>
            <w:shd w:val="clear" w:color="auto" w:fill="DEEAF6" w:themeFill="accent1" w:themeFillTint="33"/>
          </w:tcPr>
          <w:p w14:paraId="7EB1AEE5" w14:textId="77777777" w:rsidR="00D71356" w:rsidRPr="007F3CD9" w:rsidRDefault="00D71356" w:rsidP="00144906">
            <w:pPr>
              <w:rPr>
                <w:b/>
              </w:rPr>
            </w:pPr>
            <w:r w:rsidRPr="007F3CD9">
              <w:rPr>
                <w:b/>
              </w:rPr>
              <w:t>Value</w:t>
            </w:r>
            <w:r>
              <w:rPr>
                <w:b/>
              </w:rPr>
              <w:t xml:space="preserve"> / what is covered? </w:t>
            </w:r>
          </w:p>
        </w:tc>
        <w:tc>
          <w:tcPr>
            <w:tcW w:w="7730" w:type="dxa"/>
          </w:tcPr>
          <w:p w14:paraId="6373ED9C" w14:textId="77777777" w:rsidR="000C7FBC" w:rsidRDefault="000C7FBC" w:rsidP="000C7FB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Fully funded</w:t>
            </w:r>
            <w:r>
              <w:rPr>
                <w:rStyle w:val="eop"/>
                <w:rFonts w:ascii="Calibri" w:hAnsi="Calibri" w:cs="Calibri"/>
                <w:sz w:val="22"/>
                <w:szCs w:val="22"/>
              </w:rPr>
              <w:t> </w:t>
            </w:r>
          </w:p>
          <w:p w14:paraId="716F72AE" w14:textId="77777777" w:rsidR="000C7FBC" w:rsidRDefault="000C7FBC" w:rsidP="000C7F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8F6476" w14:textId="77777777" w:rsidR="000C7FBC" w:rsidRDefault="000C7FBC" w:rsidP="000C7FB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100% of UK/EU tuition fees paid and an annual stipend for UK residents only (living expenses), currently </w:t>
            </w:r>
            <w:r>
              <w:rPr>
                <w:rStyle w:val="normaltextrun"/>
                <w:rFonts w:asciiTheme="minorHAnsi" w:eastAsiaTheme="majorEastAsia" w:hAnsiTheme="minorHAnsi" w:cstheme="minorHAnsi"/>
                <w:sz w:val="22"/>
                <w:szCs w:val="22"/>
              </w:rPr>
              <w:t xml:space="preserve">at </w:t>
            </w:r>
            <w:r>
              <w:rPr>
                <w:rStyle w:val="Strong"/>
                <w:rFonts w:asciiTheme="minorHAnsi" w:hAnsiTheme="minorHAnsi" w:cstheme="minorHAnsi"/>
                <w:b w:val="0"/>
                <w:bCs w:val="0"/>
                <w:color w:val="111111"/>
                <w:sz w:val="22"/>
                <w:szCs w:val="22"/>
                <w:shd w:val="clear" w:color="auto" w:fill="FFFFFF"/>
              </w:rPr>
              <w:t>£15,285</w:t>
            </w:r>
          </w:p>
          <w:p w14:paraId="018F7AA9" w14:textId="77777777" w:rsidR="00D71356" w:rsidRDefault="00D71356" w:rsidP="00144906"/>
        </w:tc>
      </w:tr>
      <w:tr w:rsidR="00D71356" w14:paraId="5B5372B6" w14:textId="77777777" w:rsidTr="00144906">
        <w:trPr>
          <w:trHeight w:val="470"/>
        </w:trPr>
        <w:tc>
          <w:tcPr>
            <w:tcW w:w="1512" w:type="dxa"/>
            <w:shd w:val="clear" w:color="auto" w:fill="DEEAF6" w:themeFill="accent1" w:themeFillTint="33"/>
          </w:tcPr>
          <w:p w14:paraId="4916FAA2" w14:textId="77777777" w:rsidR="00D71356" w:rsidRPr="007F3CD9" w:rsidRDefault="00D71356" w:rsidP="00144906">
            <w:pPr>
              <w:rPr>
                <w:b/>
              </w:rPr>
            </w:pPr>
            <w:r w:rsidRPr="007F3CD9">
              <w:rPr>
                <w:b/>
              </w:rPr>
              <w:t>Awarding body</w:t>
            </w:r>
          </w:p>
        </w:tc>
        <w:tc>
          <w:tcPr>
            <w:tcW w:w="7730" w:type="dxa"/>
          </w:tcPr>
          <w:p w14:paraId="1199FB89" w14:textId="77777777" w:rsidR="00D71356" w:rsidRDefault="00D71356" w:rsidP="00144906"/>
        </w:tc>
      </w:tr>
      <w:tr w:rsidR="00D71356" w14:paraId="446BEDBE" w14:textId="77777777" w:rsidTr="00144906">
        <w:trPr>
          <w:trHeight w:val="444"/>
        </w:trPr>
        <w:tc>
          <w:tcPr>
            <w:tcW w:w="1512" w:type="dxa"/>
            <w:shd w:val="clear" w:color="auto" w:fill="DEEAF6" w:themeFill="accent1" w:themeFillTint="33"/>
          </w:tcPr>
          <w:p w14:paraId="2B6495F2" w14:textId="77777777" w:rsidR="00D71356" w:rsidRPr="007F3CD9" w:rsidRDefault="00D71356" w:rsidP="00144906">
            <w:pPr>
              <w:rPr>
                <w:b/>
              </w:rPr>
            </w:pPr>
            <w:r w:rsidRPr="007F3CD9">
              <w:rPr>
                <w:b/>
              </w:rPr>
              <w:t>Number of studentships</w:t>
            </w:r>
          </w:p>
        </w:tc>
        <w:tc>
          <w:tcPr>
            <w:tcW w:w="7730" w:type="dxa"/>
          </w:tcPr>
          <w:p w14:paraId="4CD938FC" w14:textId="77777777" w:rsidR="00D71356" w:rsidRDefault="00D71356" w:rsidP="00144906"/>
        </w:tc>
      </w:tr>
      <w:tr w:rsidR="00D71356" w14:paraId="7F549716" w14:textId="77777777" w:rsidTr="00144906">
        <w:trPr>
          <w:trHeight w:val="1412"/>
        </w:trPr>
        <w:tc>
          <w:tcPr>
            <w:tcW w:w="1512" w:type="dxa"/>
            <w:shd w:val="clear" w:color="auto" w:fill="DEEAF6" w:themeFill="accent1" w:themeFillTint="33"/>
          </w:tcPr>
          <w:p w14:paraId="7B8C75D3" w14:textId="77777777" w:rsidR="00D71356" w:rsidRPr="007F3CD9" w:rsidRDefault="00D71356" w:rsidP="00144906">
            <w:pPr>
              <w:rPr>
                <w:b/>
              </w:rPr>
            </w:pPr>
            <w:r>
              <w:rPr>
                <w:b/>
              </w:rPr>
              <w:t>*</w:t>
            </w:r>
            <w:r w:rsidRPr="007F3CD9">
              <w:rPr>
                <w:b/>
              </w:rPr>
              <w:t xml:space="preserve">Summary </w:t>
            </w:r>
            <w:r>
              <w:rPr>
                <w:b/>
              </w:rPr>
              <w:t xml:space="preserve">descriptive </w:t>
            </w:r>
            <w:r w:rsidRPr="007F3CD9">
              <w:rPr>
                <w:b/>
              </w:rPr>
              <w:t>text</w:t>
            </w:r>
            <w:r>
              <w:rPr>
                <w:b/>
              </w:rPr>
              <w:t xml:space="preserve"> / Example of research project </w:t>
            </w:r>
          </w:p>
        </w:tc>
        <w:tc>
          <w:tcPr>
            <w:tcW w:w="7730" w:type="dxa"/>
          </w:tcPr>
          <w:p w14:paraId="56911DC1" w14:textId="5B454672" w:rsidR="00D71356" w:rsidRDefault="00D71356" w:rsidP="00144906">
            <w:pPr>
              <w:pStyle w:val="Header"/>
              <w:tabs>
                <w:tab w:val="left" w:pos="720"/>
              </w:tabs>
              <w:jc w:val="both"/>
              <w:rPr>
                <w:rFonts w:ascii="Arial" w:hAnsi="Arial" w:cs="Arial"/>
                <w:bCs/>
                <w:color w:val="000000" w:themeColor="text1"/>
                <w:sz w:val="22"/>
                <w:szCs w:val="22"/>
              </w:rPr>
            </w:pPr>
            <w:r>
              <w:rPr>
                <w:rFonts w:asciiTheme="minorHAnsi" w:hAnsiTheme="minorHAnsi" w:cs="Arial"/>
                <w:color w:val="000000" w:themeColor="text1"/>
                <w:sz w:val="22"/>
                <w:szCs w:val="22"/>
              </w:rPr>
              <w:t>To decrease the risk of acute infective exacerbations or flare-ups of their condition, i</w:t>
            </w:r>
            <w:r w:rsidRPr="002E42C8">
              <w:rPr>
                <w:rFonts w:asciiTheme="minorHAnsi" w:hAnsiTheme="minorHAnsi" w:cs="Arial"/>
                <w:color w:val="000000" w:themeColor="text1"/>
                <w:sz w:val="22"/>
                <w:szCs w:val="22"/>
              </w:rPr>
              <w:t xml:space="preserve">ndividuals with bronchiectasis </w:t>
            </w:r>
            <w:r>
              <w:rPr>
                <w:rFonts w:asciiTheme="minorHAnsi" w:hAnsiTheme="minorHAnsi" w:cs="Arial"/>
                <w:color w:val="000000" w:themeColor="text1"/>
                <w:sz w:val="22"/>
                <w:szCs w:val="22"/>
              </w:rPr>
              <w:t>and COPD are frequently prescribed</w:t>
            </w:r>
            <w:r w:rsidRPr="002E42C8">
              <w:rPr>
                <w:rFonts w:asciiTheme="minorHAnsi" w:hAnsiTheme="minorHAnsi" w:cs="Arial"/>
                <w:color w:val="000000" w:themeColor="text1"/>
                <w:sz w:val="22"/>
                <w:szCs w:val="22"/>
              </w:rPr>
              <w:t xml:space="preserve"> long-term oral and inhaled antibiotics. </w:t>
            </w:r>
            <w:r w:rsidRPr="002E42C8">
              <w:rPr>
                <w:rFonts w:asciiTheme="minorHAnsi" w:hAnsiTheme="minorHAnsi" w:cs="Arial"/>
                <w:bCs/>
                <w:color w:val="000000" w:themeColor="text1"/>
                <w:sz w:val="22"/>
                <w:szCs w:val="22"/>
              </w:rPr>
              <w:t xml:space="preserve">However, it is not clear what effect </w:t>
            </w:r>
            <w:r>
              <w:rPr>
                <w:rFonts w:asciiTheme="minorHAnsi" w:hAnsiTheme="minorHAnsi" w:cs="Arial"/>
                <w:bCs/>
                <w:color w:val="000000" w:themeColor="text1"/>
                <w:sz w:val="22"/>
                <w:szCs w:val="22"/>
              </w:rPr>
              <w:t>such</w:t>
            </w:r>
            <w:r w:rsidRPr="002E42C8">
              <w:rPr>
                <w:rFonts w:asciiTheme="minorHAnsi" w:hAnsiTheme="minorHAnsi" w:cs="Arial"/>
                <w:bCs/>
                <w:color w:val="000000" w:themeColor="text1"/>
                <w:sz w:val="22"/>
                <w:szCs w:val="22"/>
              </w:rPr>
              <w:t xml:space="preserve"> antibiotic treatment has on microbial community composition and the development of antibiotic resistance and how this relates to patient outcomes</w:t>
            </w:r>
            <w:r>
              <w:rPr>
                <w:rFonts w:ascii="Arial" w:hAnsi="Arial" w:cs="Arial"/>
                <w:bCs/>
                <w:color w:val="000000" w:themeColor="text1"/>
                <w:sz w:val="22"/>
                <w:szCs w:val="22"/>
              </w:rPr>
              <w:t>.</w:t>
            </w:r>
          </w:p>
          <w:p w14:paraId="182F69EE" w14:textId="6D64C9FB" w:rsidR="00D71356" w:rsidRDefault="00D71356" w:rsidP="00144906">
            <w:pPr>
              <w:pStyle w:val="NormalWeb"/>
              <w:shd w:val="clear" w:color="auto" w:fill="FFFFFF"/>
              <w:jc w:val="both"/>
              <w:rPr>
                <w:rFonts w:asciiTheme="minorHAnsi" w:hAnsiTheme="minorHAnsi"/>
                <w:color w:val="000000" w:themeColor="text1"/>
              </w:rPr>
            </w:pPr>
            <w:r>
              <w:rPr>
                <w:rFonts w:asciiTheme="minorHAnsi" w:hAnsiTheme="minorHAnsi"/>
                <w:color w:val="000000" w:themeColor="text1"/>
              </w:rPr>
              <w:t xml:space="preserve">As part of an ongoing collaboration between Queens University Belfast and the University of Dundee, we have access to a large number of clinical samples and extensive clinical and biomarker data from patients enrolled in clinical studies and the European Bronchiectasis Registry (EMBARC). </w:t>
            </w:r>
            <w:r w:rsidRPr="002E42C8">
              <w:rPr>
                <w:rFonts w:asciiTheme="minorHAnsi" w:hAnsiTheme="minorHAnsi"/>
                <w:color w:val="000000" w:themeColor="text1"/>
              </w:rPr>
              <w:t xml:space="preserve">In this project, </w:t>
            </w:r>
            <w:r>
              <w:rPr>
                <w:rFonts w:asciiTheme="minorHAnsi" w:hAnsiTheme="minorHAnsi"/>
                <w:color w:val="000000" w:themeColor="text1"/>
              </w:rPr>
              <w:t xml:space="preserve">we will determine whether microbiota composition and presence of resistance genes in these samples correlates with antibiotic treatment. </w:t>
            </w:r>
            <w:r w:rsidRPr="002E42C8">
              <w:rPr>
                <w:rFonts w:asciiTheme="minorHAnsi" w:hAnsiTheme="minorHAnsi"/>
                <w:color w:val="000000" w:themeColor="text1"/>
              </w:rPr>
              <w:t>Metagenom</w:t>
            </w:r>
            <w:r>
              <w:rPr>
                <w:rFonts w:asciiTheme="minorHAnsi" w:hAnsiTheme="minorHAnsi"/>
                <w:color w:val="000000" w:themeColor="text1"/>
              </w:rPr>
              <w:t>ic</w:t>
            </w:r>
            <w:r w:rsidRPr="002E42C8">
              <w:rPr>
                <w:rFonts w:asciiTheme="minorHAnsi" w:hAnsiTheme="minorHAnsi"/>
                <w:color w:val="000000" w:themeColor="text1"/>
              </w:rPr>
              <w:t xml:space="preserve"> </w:t>
            </w:r>
            <w:r>
              <w:rPr>
                <w:rFonts w:asciiTheme="minorHAnsi" w:hAnsiTheme="minorHAnsi"/>
                <w:color w:val="000000" w:themeColor="text1"/>
              </w:rPr>
              <w:t>analysis will be performed</w:t>
            </w:r>
            <w:r w:rsidRPr="002E42C8">
              <w:rPr>
                <w:rFonts w:asciiTheme="minorHAnsi" w:hAnsiTheme="minorHAnsi"/>
                <w:color w:val="000000" w:themeColor="text1"/>
              </w:rPr>
              <w:t xml:space="preserve"> to </w:t>
            </w:r>
            <w:r>
              <w:rPr>
                <w:rFonts w:asciiTheme="minorHAnsi" w:hAnsiTheme="minorHAnsi"/>
                <w:color w:val="000000" w:themeColor="text1"/>
              </w:rPr>
              <w:t>determine</w:t>
            </w:r>
            <w:r w:rsidRPr="002E42C8">
              <w:rPr>
                <w:rFonts w:asciiTheme="minorHAnsi" w:hAnsiTheme="minorHAnsi"/>
                <w:color w:val="000000" w:themeColor="text1"/>
              </w:rPr>
              <w:t xml:space="preserve"> the abundance of genes encoding antimicrobial resistance, the '</w:t>
            </w:r>
            <w:proofErr w:type="spellStart"/>
            <w:r w:rsidRPr="002E42C8">
              <w:rPr>
                <w:rStyle w:val="highlight1"/>
                <w:rFonts w:asciiTheme="minorHAnsi" w:hAnsiTheme="minorHAnsi"/>
                <w:color w:val="000000" w:themeColor="text1"/>
                <w:shd w:val="clear" w:color="auto" w:fill="FFFFFF"/>
              </w:rPr>
              <w:t>resistome</w:t>
            </w:r>
            <w:proofErr w:type="spellEnd"/>
            <w:r w:rsidRPr="002E42C8">
              <w:rPr>
                <w:rFonts w:asciiTheme="minorHAnsi" w:hAnsiTheme="minorHAnsi"/>
                <w:color w:val="000000" w:themeColor="text1"/>
                <w:shd w:val="clear" w:color="auto" w:fill="FFFFFF"/>
              </w:rPr>
              <w:t xml:space="preserve">', </w:t>
            </w:r>
            <w:r w:rsidRPr="002E42C8">
              <w:rPr>
                <w:rFonts w:asciiTheme="minorHAnsi" w:hAnsiTheme="minorHAnsi"/>
                <w:color w:val="000000" w:themeColor="text1"/>
              </w:rPr>
              <w:t>within the community of bacteria as a whole, and how it changes in response to treatment. The relationship between development of resistance and an extensive range of clinical outcomes (lung function, quality of life, time to next exacerbation) and measures of inflammation will also be determined.</w:t>
            </w:r>
          </w:p>
          <w:p w14:paraId="6DFF89C1" w14:textId="77777777" w:rsidR="00D71356" w:rsidRPr="002E42C8" w:rsidRDefault="00D71356" w:rsidP="00144906">
            <w:pPr>
              <w:pStyle w:val="NormalWeb"/>
              <w:shd w:val="clear" w:color="auto" w:fill="FFFFFF"/>
              <w:jc w:val="both"/>
              <w:rPr>
                <w:rFonts w:asciiTheme="minorHAnsi" w:hAnsiTheme="minorHAnsi"/>
              </w:rPr>
            </w:pPr>
          </w:p>
        </w:tc>
      </w:tr>
      <w:tr w:rsidR="00D71356" w14:paraId="107A4778" w14:textId="77777777" w:rsidTr="00144906">
        <w:trPr>
          <w:trHeight w:val="625"/>
        </w:trPr>
        <w:tc>
          <w:tcPr>
            <w:tcW w:w="1512" w:type="dxa"/>
            <w:shd w:val="clear" w:color="auto" w:fill="DEEAF6" w:themeFill="accent1" w:themeFillTint="33"/>
          </w:tcPr>
          <w:p w14:paraId="6B352F6F" w14:textId="77777777" w:rsidR="00D71356" w:rsidRDefault="00D71356" w:rsidP="00144906">
            <w:pPr>
              <w:rPr>
                <w:b/>
              </w:rPr>
            </w:pPr>
            <w:r>
              <w:rPr>
                <w:b/>
              </w:rPr>
              <w:t>*Supervisor(s)</w:t>
            </w:r>
          </w:p>
        </w:tc>
        <w:tc>
          <w:tcPr>
            <w:tcW w:w="7730" w:type="dxa"/>
          </w:tcPr>
          <w:p w14:paraId="7269ACAF" w14:textId="77777777" w:rsidR="00D71356" w:rsidRDefault="00D71356" w:rsidP="00144906">
            <w:pPr>
              <w:rPr>
                <w:rFonts w:ascii="Calibri" w:eastAsia="Calibri" w:hAnsi="Calibri"/>
              </w:rPr>
            </w:pPr>
            <w:r>
              <w:rPr>
                <w:rFonts w:ascii="Calibri" w:eastAsia="Calibri" w:hAnsi="Calibri"/>
              </w:rPr>
              <w:t>Professor Michael Tunney, School of Pharmacy, Queen’s University Belfast</w:t>
            </w:r>
          </w:p>
          <w:p w14:paraId="5B129D0D" w14:textId="77777777" w:rsidR="00D71356" w:rsidRDefault="00D71356" w:rsidP="00144906">
            <w:pPr>
              <w:rPr>
                <w:rFonts w:ascii="Calibri" w:eastAsia="Calibri" w:hAnsi="Calibri"/>
              </w:rPr>
            </w:pPr>
            <w:r>
              <w:rPr>
                <w:rFonts w:ascii="Calibri" w:eastAsia="Calibri" w:hAnsi="Calibri"/>
              </w:rPr>
              <w:t xml:space="preserve">Professor Stuart </w:t>
            </w:r>
            <w:proofErr w:type="spellStart"/>
            <w:r>
              <w:rPr>
                <w:rFonts w:ascii="Calibri" w:eastAsia="Calibri" w:hAnsi="Calibri"/>
              </w:rPr>
              <w:t>Elborn</w:t>
            </w:r>
            <w:proofErr w:type="spellEnd"/>
            <w:r>
              <w:rPr>
                <w:rFonts w:ascii="Calibri" w:eastAsia="Calibri" w:hAnsi="Calibri"/>
              </w:rPr>
              <w:t xml:space="preserve">, </w:t>
            </w:r>
            <w:proofErr w:type="spellStart"/>
            <w:r>
              <w:rPr>
                <w:rFonts w:ascii="Calibri" w:eastAsia="Calibri" w:hAnsi="Calibri"/>
              </w:rPr>
              <w:t>Wellcome</w:t>
            </w:r>
            <w:proofErr w:type="spellEnd"/>
            <w:r>
              <w:rPr>
                <w:rFonts w:ascii="Calibri" w:eastAsia="Calibri" w:hAnsi="Calibri"/>
              </w:rPr>
              <w:t xml:space="preserve"> Wolfson Institute for Experimental Medicine, Queen’s University Belfast</w:t>
            </w:r>
          </w:p>
          <w:p w14:paraId="741FCFB7" w14:textId="77777777" w:rsidR="00D71356" w:rsidRPr="002963E1" w:rsidRDefault="00D71356" w:rsidP="00144906">
            <w:pPr>
              <w:rPr>
                <w:rFonts w:ascii="Calibri" w:eastAsia="Calibri" w:hAnsi="Calibri"/>
              </w:rPr>
            </w:pPr>
            <w:r>
              <w:rPr>
                <w:rFonts w:ascii="Calibri" w:eastAsia="Calibri" w:hAnsi="Calibri"/>
              </w:rPr>
              <w:t>Professor James Chalmers, School of Medicine, University of Dundee</w:t>
            </w:r>
          </w:p>
          <w:p w14:paraId="03709113" w14:textId="77777777" w:rsidR="00D71356" w:rsidRPr="002963E1" w:rsidRDefault="00D71356" w:rsidP="00144906">
            <w:pPr>
              <w:rPr>
                <w:rFonts w:ascii="Calibri" w:eastAsia="Calibri" w:hAnsi="Calibri"/>
              </w:rPr>
            </w:pPr>
          </w:p>
        </w:tc>
      </w:tr>
      <w:tr w:rsidR="00D71356" w14:paraId="6862089D" w14:textId="77777777" w:rsidTr="00144906">
        <w:trPr>
          <w:trHeight w:val="630"/>
        </w:trPr>
        <w:tc>
          <w:tcPr>
            <w:tcW w:w="1512" w:type="dxa"/>
            <w:shd w:val="clear" w:color="auto" w:fill="DEEAF6" w:themeFill="accent1" w:themeFillTint="33"/>
          </w:tcPr>
          <w:p w14:paraId="3E147799" w14:textId="77777777" w:rsidR="00D71356" w:rsidRPr="007F3CD9" w:rsidRDefault="00D71356" w:rsidP="00144906">
            <w:pPr>
              <w:rPr>
                <w:b/>
              </w:rPr>
            </w:pPr>
            <w:r>
              <w:rPr>
                <w:b/>
              </w:rPr>
              <w:t>*Eligibility / residence Status</w:t>
            </w:r>
          </w:p>
        </w:tc>
        <w:tc>
          <w:tcPr>
            <w:tcW w:w="7730" w:type="dxa"/>
          </w:tcPr>
          <w:p w14:paraId="323CFA7B" w14:textId="77777777" w:rsidR="00D71356" w:rsidRPr="007F3CD9" w:rsidRDefault="00D71356" w:rsidP="00144906"/>
        </w:tc>
      </w:tr>
      <w:tr w:rsidR="00D71356" w14:paraId="15038FC2" w14:textId="77777777" w:rsidTr="00144906">
        <w:trPr>
          <w:trHeight w:val="630"/>
        </w:trPr>
        <w:tc>
          <w:tcPr>
            <w:tcW w:w="1512" w:type="dxa"/>
            <w:shd w:val="clear" w:color="auto" w:fill="DEEAF6" w:themeFill="accent1" w:themeFillTint="33"/>
          </w:tcPr>
          <w:p w14:paraId="13F15743" w14:textId="77777777" w:rsidR="00D71356" w:rsidRDefault="00D71356" w:rsidP="00144906">
            <w:pPr>
              <w:rPr>
                <w:b/>
              </w:rPr>
            </w:pPr>
            <w:r>
              <w:rPr>
                <w:b/>
              </w:rPr>
              <w:t>Country</w:t>
            </w:r>
          </w:p>
        </w:tc>
        <w:tc>
          <w:tcPr>
            <w:tcW w:w="7730" w:type="dxa"/>
          </w:tcPr>
          <w:p w14:paraId="2CAD7238" w14:textId="77777777" w:rsidR="00D71356" w:rsidRDefault="00D71356" w:rsidP="00144906"/>
        </w:tc>
      </w:tr>
      <w:tr w:rsidR="00D71356" w14:paraId="558943C7" w14:textId="77777777" w:rsidTr="00144906">
        <w:trPr>
          <w:trHeight w:val="630"/>
        </w:trPr>
        <w:tc>
          <w:tcPr>
            <w:tcW w:w="1512" w:type="dxa"/>
            <w:shd w:val="clear" w:color="auto" w:fill="DEEAF6" w:themeFill="accent1" w:themeFillTint="33"/>
          </w:tcPr>
          <w:p w14:paraId="44AECEE8" w14:textId="77777777" w:rsidR="00D71356" w:rsidRDefault="00D71356" w:rsidP="00144906">
            <w:pPr>
              <w:rPr>
                <w:b/>
              </w:rPr>
            </w:pPr>
            <w:r>
              <w:rPr>
                <w:b/>
              </w:rPr>
              <w:t xml:space="preserve">*Start date and duration </w:t>
            </w:r>
          </w:p>
        </w:tc>
        <w:tc>
          <w:tcPr>
            <w:tcW w:w="7730" w:type="dxa"/>
          </w:tcPr>
          <w:p w14:paraId="0144746D" w14:textId="40D27E7A" w:rsidR="00D71356" w:rsidRDefault="00D71356" w:rsidP="00144906">
            <w:r>
              <w:t>September 2022</w:t>
            </w:r>
          </w:p>
          <w:p w14:paraId="3A331A6B" w14:textId="77777777" w:rsidR="00D71356" w:rsidRDefault="00D71356" w:rsidP="00144906"/>
        </w:tc>
      </w:tr>
      <w:tr w:rsidR="00D71356" w14:paraId="24C28E9A" w14:textId="77777777" w:rsidTr="00144906">
        <w:trPr>
          <w:trHeight w:val="444"/>
        </w:trPr>
        <w:tc>
          <w:tcPr>
            <w:tcW w:w="1512" w:type="dxa"/>
            <w:shd w:val="clear" w:color="auto" w:fill="DEEAF6" w:themeFill="accent1" w:themeFillTint="33"/>
          </w:tcPr>
          <w:p w14:paraId="0DFA047C" w14:textId="77777777" w:rsidR="00D71356" w:rsidRPr="007F3CD9" w:rsidRDefault="00D71356" w:rsidP="00144906">
            <w:pPr>
              <w:rPr>
                <w:b/>
              </w:rPr>
            </w:pPr>
            <w:r>
              <w:rPr>
                <w:b/>
              </w:rPr>
              <w:t>*</w:t>
            </w:r>
            <w:r w:rsidRPr="007F3CD9">
              <w:rPr>
                <w:b/>
              </w:rPr>
              <w:t>Faculty</w:t>
            </w:r>
          </w:p>
        </w:tc>
        <w:tc>
          <w:tcPr>
            <w:tcW w:w="7730" w:type="dxa"/>
          </w:tcPr>
          <w:p w14:paraId="4B8ABEB2" w14:textId="77777777" w:rsidR="00D71356" w:rsidRDefault="00D71356" w:rsidP="00144906">
            <w:r>
              <w:t>MHLS</w:t>
            </w:r>
          </w:p>
        </w:tc>
      </w:tr>
      <w:tr w:rsidR="00D71356" w14:paraId="426A87CC" w14:textId="77777777" w:rsidTr="00144906">
        <w:trPr>
          <w:trHeight w:val="470"/>
        </w:trPr>
        <w:tc>
          <w:tcPr>
            <w:tcW w:w="1512" w:type="dxa"/>
            <w:shd w:val="clear" w:color="auto" w:fill="DEEAF6" w:themeFill="accent1" w:themeFillTint="33"/>
          </w:tcPr>
          <w:p w14:paraId="56E57EEA" w14:textId="77777777" w:rsidR="00D71356" w:rsidRPr="007F3CD9" w:rsidRDefault="00D71356" w:rsidP="00144906">
            <w:pPr>
              <w:rPr>
                <w:b/>
              </w:rPr>
            </w:pPr>
            <w:r>
              <w:rPr>
                <w:b/>
              </w:rPr>
              <w:lastRenderedPageBreak/>
              <w:t>*</w:t>
            </w:r>
            <w:r w:rsidRPr="007F3CD9">
              <w:rPr>
                <w:b/>
              </w:rPr>
              <w:t>Research centre / School</w:t>
            </w:r>
          </w:p>
        </w:tc>
        <w:tc>
          <w:tcPr>
            <w:tcW w:w="7730" w:type="dxa"/>
          </w:tcPr>
          <w:p w14:paraId="3D42B019" w14:textId="77777777" w:rsidR="00D71356" w:rsidRDefault="00D71356" w:rsidP="00144906">
            <w:r>
              <w:t>Pharmacy</w:t>
            </w:r>
          </w:p>
        </w:tc>
      </w:tr>
      <w:tr w:rsidR="00D71356" w14:paraId="1645952C" w14:textId="77777777" w:rsidTr="00144906">
        <w:trPr>
          <w:trHeight w:val="470"/>
        </w:trPr>
        <w:tc>
          <w:tcPr>
            <w:tcW w:w="1512" w:type="dxa"/>
            <w:shd w:val="clear" w:color="auto" w:fill="DEEAF6" w:themeFill="accent1" w:themeFillTint="33"/>
          </w:tcPr>
          <w:p w14:paraId="0BE87959" w14:textId="77777777" w:rsidR="00D71356" w:rsidRDefault="00D71356" w:rsidP="00144906">
            <w:pPr>
              <w:rPr>
                <w:b/>
              </w:rPr>
            </w:pPr>
            <w:r>
              <w:rPr>
                <w:b/>
              </w:rPr>
              <w:t>Subject area</w:t>
            </w:r>
          </w:p>
        </w:tc>
        <w:tc>
          <w:tcPr>
            <w:tcW w:w="7730" w:type="dxa"/>
          </w:tcPr>
          <w:p w14:paraId="708415CF" w14:textId="77777777" w:rsidR="00D71356" w:rsidRDefault="00D71356" w:rsidP="00144906">
            <w:r>
              <w:t>Clinical Pharmacy, Therapeutics, Microbiology, Infection and antimicrobial resistance</w:t>
            </w:r>
          </w:p>
        </w:tc>
      </w:tr>
      <w:tr w:rsidR="00D71356" w14:paraId="0C4F6B20" w14:textId="77777777" w:rsidTr="00144906">
        <w:trPr>
          <w:trHeight w:val="444"/>
        </w:trPr>
        <w:tc>
          <w:tcPr>
            <w:tcW w:w="1512" w:type="dxa"/>
            <w:shd w:val="clear" w:color="auto" w:fill="DEEAF6" w:themeFill="accent1" w:themeFillTint="33"/>
          </w:tcPr>
          <w:p w14:paraId="06786CEA" w14:textId="77777777" w:rsidR="00D71356" w:rsidRDefault="00D71356" w:rsidP="00144906">
            <w:pPr>
              <w:rPr>
                <w:b/>
              </w:rPr>
            </w:pPr>
            <w:r>
              <w:rPr>
                <w:b/>
              </w:rPr>
              <w:t xml:space="preserve">Candidate requirements / Key skills required for the post </w:t>
            </w:r>
          </w:p>
          <w:p w14:paraId="54F6FBC3" w14:textId="77777777" w:rsidR="00D71356" w:rsidRPr="007F3CD9" w:rsidRDefault="00D71356" w:rsidP="00144906">
            <w:pPr>
              <w:rPr>
                <w:b/>
              </w:rPr>
            </w:pPr>
          </w:p>
        </w:tc>
        <w:tc>
          <w:tcPr>
            <w:tcW w:w="7730" w:type="dxa"/>
          </w:tcPr>
          <w:p w14:paraId="22254EDE" w14:textId="77777777" w:rsidR="00D71356" w:rsidRPr="007C3A10" w:rsidRDefault="00D71356" w:rsidP="00144906">
            <w:r w:rsidRPr="007C3A10">
              <w:rPr>
                <w:rFonts w:cs="Arial"/>
              </w:rPr>
              <w:t>Applicants should have a 1st or 2.1 honours degree (or equivalent) in a relevant subject. Relevant subjects include Pharmacy, Molecular Biology, Pharmaceutical Sciences, Biochemistry, Biological/Biomedical Sciences,</w:t>
            </w:r>
            <w:r>
              <w:rPr>
                <w:rFonts w:cs="Arial"/>
              </w:rPr>
              <w:t xml:space="preserve"> </w:t>
            </w:r>
            <w:r w:rsidRPr="007C3A10">
              <w:rPr>
                <w:rFonts w:cs="Arial"/>
              </w:rPr>
              <w:t>Chemistry, Engineering</w:t>
            </w:r>
            <w:r>
              <w:rPr>
                <w:rFonts w:cs="Arial"/>
              </w:rPr>
              <w:t xml:space="preserve">, or </w:t>
            </w:r>
            <w:r w:rsidRPr="007C3A10">
              <w:rPr>
                <w:rFonts w:cs="Arial"/>
              </w:rPr>
              <w:t>a closely related discipline. Students who have a 2.2 honours degree and a Master’s degree may also be considered, but the School reserves the right to shortlist for interview only those applicants who have demonstrated high academic attainment to date</w:t>
            </w:r>
          </w:p>
        </w:tc>
      </w:tr>
      <w:tr w:rsidR="00D71356" w14:paraId="698000B2" w14:textId="77777777" w:rsidTr="00144906">
        <w:trPr>
          <w:trHeight w:val="444"/>
        </w:trPr>
        <w:tc>
          <w:tcPr>
            <w:tcW w:w="1512" w:type="dxa"/>
            <w:shd w:val="clear" w:color="auto" w:fill="DEEAF6" w:themeFill="accent1" w:themeFillTint="33"/>
          </w:tcPr>
          <w:p w14:paraId="5DCD613F" w14:textId="77777777" w:rsidR="00D71356" w:rsidRDefault="00D71356" w:rsidP="00144906">
            <w:pPr>
              <w:rPr>
                <w:b/>
              </w:rPr>
            </w:pPr>
            <w:r>
              <w:rPr>
                <w:b/>
              </w:rPr>
              <w:t>*Deadline for applications</w:t>
            </w:r>
          </w:p>
        </w:tc>
        <w:tc>
          <w:tcPr>
            <w:tcW w:w="7730" w:type="dxa"/>
          </w:tcPr>
          <w:p w14:paraId="2B1897B0" w14:textId="77777777" w:rsidR="00D71356" w:rsidRDefault="00D71356" w:rsidP="00144906"/>
        </w:tc>
      </w:tr>
      <w:tr w:rsidR="00D71356" w14:paraId="61ABB433" w14:textId="77777777" w:rsidTr="00144906">
        <w:trPr>
          <w:trHeight w:val="444"/>
        </w:trPr>
        <w:tc>
          <w:tcPr>
            <w:tcW w:w="1512" w:type="dxa"/>
            <w:shd w:val="clear" w:color="auto" w:fill="DEEAF6" w:themeFill="accent1" w:themeFillTint="33"/>
          </w:tcPr>
          <w:p w14:paraId="6EA78A9F" w14:textId="77777777" w:rsidR="00D71356" w:rsidRDefault="00D71356" w:rsidP="00144906">
            <w:pPr>
              <w:rPr>
                <w:b/>
              </w:rPr>
            </w:pPr>
            <w:r>
              <w:rPr>
                <w:b/>
              </w:rPr>
              <w:t>*How to apply / contacts</w:t>
            </w:r>
          </w:p>
        </w:tc>
        <w:tc>
          <w:tcPr>
            <w:tcW w:w="7730" w:type="dxa"/>
          </w:tcPr>
          <w:p w14:paraId="784BF18B" w14:textId="77777777" w:rsidR="00D71356" w:rsidRPr="001D5159" w:rsidRDefault="00D71356" w:rsidP="00D71356">
            <w:pPr>
              <w:rPr>
                <w:rFonts w:ascii="Calibri" w:hAnsi="Calibri"/>
              </w:rPr>
            </w:pPr>
            <w:r w:rsidRPr="001D5159">
              <w:rPr>
                <w:rFonts w:ascii="Calibri" w:hAnsi="Calibri"/>
              </w:rPr>
              <w:t xml:space="preserve">Postgraduate Research applicants must have applied to Queen’s, via </w:t>
            </w:r>
            <w:r>
              <w:rPr>
                <w:rFonts w:ascii="Calibri" w:hAnsi="Calibri"/>
              </w:rPr>
              <w:t>the Direct Applications Portal.</w:t>
            </w:r>
          </w:p>
          <w:p w14:paraId="147E4A8C" w14:textId="77777777" w:rsidR="00D71356" w:rsidRPr="001D5159" w:rsidRDefault="00D71356" w:rsidP="00D71356">
            <w:pPr>
              <w:rPr>
                <w:rFonts w:ascii="Calibri" w:hAnsi="Calibri"/>
              </w:rPr>
            </w:pPr>
          </w:p>
          <w:p w14:paraId="7E42BF24" w14:textId="4BFEA9CF" w:rsidR="00D71356" w:rsidRDefault="000C7FBC" w:rsidP="00D71356">
            <w:hyperlink r:id="rId6" w:history="1">
              <w:r w:rsidR="00D71356" w:rsidRPr="001D5159">
                <w:rPr>
                  <w:rStyle w:val="Hyperlink"/>
                  <w:rFonts w:ascii="Calibri" w:hAnsi="Calibri"/>
                </w:rPr>
                <w:t>https://dap.qub.ac.uk/portal/user/u_login.php</w:t>
              </w:r>
            </w:hyperlink>
          </w:p>
        </w:tc>
      </w:tr>
      <w:tr w:rsidR="00D71356" w14:paraId="13C1327E" w14:textId="77777777" w:rsidTr="00144906">
        <w:trPr>
          <w:trHeight w:val="2715"/>
        </w:trPr>
        <w:tc>
          <w:tcPr>
            <w:tcW w:w="1512" w:type="dxa"/>
            <w:shd w:val="clear" w:color="auto" w:fill="DEEAF6" w:themeFill="accent1" w:themeFillTint="33"/>
          </w:tcPr>
          <w:p w14:paraId="132CE691" w14:textId="77777777" w:rsidR="00D71356" w:rsidRPr="007F3CD9" w:rsidRDefault="00D71356" w:rsidP="00144906">
            <w:pPr>
              <w:rPr>
                <w:b/>
              </w:rPr>
            </w:pPr>
            <w:r>
              <w:rPr>
                <w:b/>
              </w:rPr>
              <w:t>Relevant</w:t>
            </w:r>
            <w:r w:rsidRPr="007F3CD9">
              <w:rPr>
                <w:b/>
              </w:rPr>
              <w:t xml:space="preserve"> links </w:t>
            </w:r>
            <w:r>
              <w:rPr>
                <w:b/>
              </w:rPr>
              <w:t xml:space="preserve">/ more information </w:t>
            </w:r>
          </w:p>
          <w:p w14:paraId="3C95FA94" w14:textId="77777777" w:rsidR="00D71356" w:rsidRDefault="00D71356" w:rsidP="00144906"/>
        </w:tc>
        <w:tc>
          <w:tcPr>
            <w:tcW w:w="7730" w:type="dxa"/>
          </w:tcPr>
          <w:p w14:paraId="60BAD88E" w14:textId="77777777" w:rsidR="00D71356" w:rsidRDefault="00D71356" w:rsidP="00144906"/>
          <w:p w14:paraId="7B12A2CA" w14:textId="77777777" w:rsidR="00D71356" w:rsidRDefault="000C7FBC" w:rsidP="00144906">
            <w:hyperlink r:id="rId7" w:history="1">
              <w:r w:rsidR="00D71356" w:rsidRPr="00810712">
                <w:rPr>
                  <w:rStyle w:val="Hyperlink"/>
                </w:rPr>
                <w:t>http://www.qub.ac.uk/schools/SchoolofPharmacy/Research/PostgraduatePositions/</w:t>
              </w:r>
            </w:hyperlink>
          </w:p>
          <w:p w14:paraId="14FC0C1B" w14:textId="77777777" w:rsidR="00D71356" w:rsidRDefault="00D71356" w:rsidP="00144906"/>
          <w:p w14:paraId="246930DE" w14:textId="77777777" w:rsidR="00D71356" w:rsidRDefault="000C7FBC" w:rsidP="00144906">
            <w:pPr>
              <w:rPr>
                <w:rStyle w:val="Hyperlink"/>
              </w:rPr>
            </w:pPr>
            <w:hyperlink r:id="rId8" w:history="1">
              <w:r w:rsidR="00D71356" w:rsidRPr="00810712">
                <w:rPr>
                  <w:rStyle w:val="Hyperlink"/>
                </w:rPr>
                <w:t>http://www.qub.ac.uk/schools/SchoolofPharmacy/Research/</w:t>
              </w:r>
            </w:hyperlink>
          </w:p>
          <w:p w14:paraId="72846BF1" w14:textId="77777777" w:rsidR="00D71356" w:rsidRDefault="00D71356" w:rsidP="00144906">
            <w:pPr>
              <w:rPr>
                <w:rStyle w:val="Hyperlink"/>
              </w:rPr>
            </w:pPr>
          </w:p>
          <w:p w14:paraId="5D2DFEB3" w14:textId="77777777" w:rsidR="00D71356" w:rsidRDefault="00D71356" w:rsidP="00144906">
            <w:pPr>
              <w:rPr>
                <w:rStyle w:val="Hyperlink"/>
              </w:rPr>
            </w:pPr>
            <w:r w:rsidRPr="009405BB">
              <w:rPr>
                <w:rStyle w:val="Hyperlink"/>
              </w:rPr>
              <w:t>https://www.qub.ac.uk/schools/SchoolofPharmacy/Research/find-a-phd-supervisor/professor-michael-tunney.html</w:t>
            </w:r>
          </w:p>
          <w:p w14:paraId="4891067F" w14:textId="77777777" w:rsidR="00D71356" w:rsidRDefault="00D71356" w:rsidP="00144906">
            <w:pPr>
              <w:rPr>
                <w:rStyle w:val="Hyperlink"/>
              </w:rPr>
            </w:pPr>
          </w:p>
          <w:p w14:paraId="7EB31E6F" w14:textId="77777777" w:rsidR="00D71356" w:rsidRDefault="000C7FBC" w:rsidP="00144906">
            <w:hyperlink r:id="rId9" w:history="1">
              <w:r w:rsidR="00D71356">
                <w:rPr>
                  <w:rStyle w:val="Hyperlink"/>
                </w:rPr>
                <w:t>http://amr.dundee.ac.uk/staff/prof-james-chalmers</w:t>
              </w:r>
            </w:hyperlink>
          </w:p>
          <w:p w14:paraId="38A38288" w14:textId="77777777" w:rsidR="00D71356" w:rsidRDefault="00D71356" w:rsidP="00144906"/>
          <w:p w14:paraId="73D37F22" w14:textId="77777777" w:rsidR="00D71356" w:rsidRDefault="00D71356" w:rsidP="00144906"/>
        </w:tc>
      </w:tr>
      <w:tr w:rsidR="00D71356" w14:paraId="3AFF40C5" w14:textId="77777777" w:rsidTr="00144906">
        <w:trPr>
          <w:trHeight w:val="576"/>
        </w:trPr>
        <w:tc>
          <w:tcPr>
            <w:tcW w:w="1512" w:type="dxa"/>
            <w:shd w:val="clear" w:color="auto" w:fill="DEEAF6" w:themeFill="accent1" w:themeFillTint="33"/>
          </w:tcPr>
          <w:p w14:paraId="75BAB80E" w14:textId="77777777" w:rsidR="00D71356" w:rsidRDefault="00D71356" w:rsidP="00144906">
            <w:pPr>
              <w:rPr>
                <w:b/>
              </w:rPr>
            </w:pPr>
            <w:r>
              <w:rPr>
                <w:b/>
              </w:rPr>
              <w:t>Keywords for search filters</w:t>
            </w:r>
          </w:p>
        </w:tc>
        <w:tc>
          <w:tcPr>
            <w:tcW w:w="7730" w:type="dxa"/>
          </w:tcPr>
          <w:p w14:paraId="1733D857" w14:textId="77777777" w:rsidR="00D71356" w:rsidRDefault="00D71356" w:rsidP="00144906">
            <w:r>
              <w:t>Infection, antimicrobial resistance, PCR, next-generation sequencing, metagenomics, clinical pharmacy</w:t>
            </w:r>
          </w:p>
        </w:tc>
      </w:tr>
      <w:tr w:rsidR="00D71356" w14:paraId="28303547" w14:textId="77777777" w:rsidTr="00144906">
        <w:trPr>
          <w:trHeight w:val="470"/>
        </w:trPr>
        <w:tc>
          <w:tcPr>
            <w:tcW w:w="1512" w:type="dxa"/>
            <w:shd w:val="clear" w:color="auto" w:fill="DEEAF6" w:themeFill="accent1" w:themeFillTint="33"/>
          </w:tcPr>
          <w:p w14:paraId="6D64A420" w14:textId="77777777" w:rsidR="00D71356" w:rsidRDefault="00D71356" w:rsidP="00144906">
            <w:pPr>
              <w:rPr>
                <w:b/>
              </w:rPr>
            </w:pPr>
            <w:r>
              <w:rPr>
                <w:b/>
              </w:rPr>
              <w:t>Training provided through the research project</w:t>
            </w:r>
          </w:p>
        </w:tc>
        <w:tc>
          <w:tcPr>
            <w:tcW w:w="7730" w:type="dxa"/>
          </w:tcPr>
          <w:p w14:paraId="48F9424E" w14:textId="77777777" w:rsidR="00D71356" w:rsidRPr="00621F17" w:rsidRDefault="00D71356" w:rsidP="00144906">
            <w:pPr>
              <w:pStyle w:val="NormalWeb"/>
              <w:shd w:val="clear" w:color="auto" w:fill="FFFFFF"/>
              <w:jc w:val="both"/>
              <w:rPr>
                <w:rFonts w:asciiTheme="minorHAnsi" w:hAnsiTheme="minorHAnsi"/>
                <w:color w:val="000000" w:themeColor="text1"/>
              </w:rPr>
            </w:pPr>
            <w:r w:rsidRPr="00621F17">
              <w:rPr>
                <w:rFonts w:asciiTheme="minorHAnsi" w:eastAsia="Bookman Old Style" w:hAnsiTheme="minorHAnsi"/>
                <w:color w:val="000000" w:themeColor="text1"/>
              </w:rPr>
              <w:t>This project will provide extensive training in, clinical pharmacy, clinical trial methodology, molecular microbiology, inflammatory biomarker measurement and statistical analysis as part of an inter-disciplinary and internationally renowned research team.</w:t>
            </w:r>
          </w:p>
          <w:p w14:paraId="1D718CB8" w14:textId="77777777" w:rsidR="00D71356" w:rsidRDefault="00D71356" w:rsidP="00144906">
            <w:pPr>
              <w:pStyle w:val="Body"/>
              <w:tabs>
                <w:tab w:val="left" w:pos="567"/>
                <w:tab w:val="left" w:pos="1134"/>
                <w:tab w:val="left" w:pos="1701"/>
                <w:tab w:val="left" w:pos="2268"/>
                <w:tab w:val="left" w:pos="2835"/>
                <w:tab w:val="left" w:pos="3402"/>
                <w:tab w:val="left" w:pos="3969"/>
                <w:tab w:val="left" w:pos="4535"/>
                <w:tab w:val="left" w:pos="5102"/>
                <w:tab w:val="left" w:pos="5670"/>
                <w:tab w:val="left" w:pos="8647"/>
                <w:tab w:val="left" w:pos="9071"/>
                <w:tab w:val="left" w:pos="9638"/>
                <w:tab w:val="left" w:pos="10205"/>
                <w:tab w:val="left" w:pos="10772"/>
                <w:tab w:val="left" w:pos="11339"/>
              </w:tabs>
              <w:spacing w:after="0"/>
              <w:jc w:val="both"/>
            </w:pPr>
          </w:p>
        </w:tc>
      </w:tr>
      <w:tr w:rsidR="00D71356" w14:paraId="1DEF3A81" w14:textId="77777777" w:rsidTr="00144906">
        <w:trPr>
          <w:trHeight w:val="470"/>
        </w:trPr>
        <w:tc>
          <w:tcPr>
            <w:tcW w:w="1512" w:type="dxa"/>
            <w:shd w:val="clear" w:color="auto" w:fill="DEEAF6" w:themeFill="accent1" w:themeFillTint="33"/>
          </w:tcPr>
          <w:p w14:paraId="5C78B4BD" w14:textId="77777777" w:rsidR="00D71356" w:rsidRDefault="00D71356" w:rsidP="00144906">
            <w:pPr>
              <w:rPr>
                <w:b/>
              </w:rPr>
            </w:pPr>
            <w:r>
              <w:rPr>
                <w:b/>
              </w:rPr>
              <w:t>Expected impact activities</w:t>
            </w:r>
          </w:p>
        </w:tc>
        <w:tc>
          <w:tcPr>
            <w:tcW w:w="7730" w:type="dxa"/>
          </w:tcPr>
          <w:p w14:paraId="1DBAAF99" w14:textId="293B704F" w:rsidR="00D71356" w:rsidRDefault="00D71356" w:rsidP="00144906">
            <w:pPr>
              <w:pStyle w:val="Header"/>
              <w:tabs>
                <w:tab w:val="clear" w:pos="4153"/>
                <w:tab w:val="clear" w:pos="8306"/>
                <w:tab w:val="left" w:pos="720"/>
              </w:tabs>
              <w:ind w:right="-135"/>
            </w:pPr>
            <w:r w:rsidRPr="002212E2">
              <w:rPr>
                <w:rFonts w:asciiTheme="minorHAnsi" w:hAnsiTheme="minorHAnsi"/>
                <w:color w:val="000000" w:themeColor="text1"/>
                <w:sz w:val="22"/>
                <w:szCs w:val="22"/>
              </w:rPr>
              <w:t>This study will use rich clinical metadata and molecular resistance markers to explore prognostic markers that have potential to drive improvements in clinical care of people with bronchiectasis</w:t>
            </w:r>
            <w:r>
              <w:rPr>
                <w:rFonts w:asciiTheme="minorHAnsi" w:hAnsiTheme="minorHAnsi"/>
                <w:color w:val="000000" w:themeColor="text1"/>
                <w:sz w:val="22"/>
                <w:szCs w:val="22"/>
              </w:rPr>
              <w:t xml:space="preserve"> and COPD.</w:t>
            </w:r>
          </w:p>
        </w:tc>
      </w:tr>
    </w:tbl>
    <w:p w14:paraId="7DA429FF" w14:textId="77777777" w:rsidR="00D71356" w:rsidRDefault="00D71356" w:rsidP="00D71356"/>
    <w:sectPr w:rsidR="00D71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C7FBC"/>
    <w:rsid w:val="000D526E"/>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CA4"/>
    <w:rsid w:val="00275E36"/>
    <w:rsid w:val="00276A24"/>
    <w:rsid w:val="00286380"/>
    <w:rsid w:val="002A0180"/>
    <w:rsid w:val="002A22B2"/>
    <w:rsid w:val="002A6F4F"/>
    <w:rsid w:val="002B644E"/>
    <w:rsid w:val="002B6455"/>
    <w:rsid w:val="002C1BB6"/>
    <w:rsid w:val="002E0374"/>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7EBE"/>
    <w:rsid w:val="00571B6D"/>
    <w:rsid w:val="0058648B"/>
    <w:rsid w:val="005A4DBD"/>
    <w:rsid w:val="005B1A39"/>
    <w:rsid w:val="005B5E39"/>
    <w:rsid w:val="005B7F83"/>
    <w:rsid w:val="005D1843"/>
    <w:rsid w:val="005D4DF9"/>
    <w:rsid w:val="005E19CD"/>
    <w:rsid w:val="005F2741"/>
    <w:rsid w:val="005F301D"/>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71356"/>
    <w:rsid w:val="00D804A3"/>
    <w:rsid w:val="00D80D41"/>
    <w:rsid w:val="00D82FEF"/>
    <w:rsid w:val="00D84A9F"/>
    <w:rsid w:val="00D91A1F"/>
    <w:rsid w:val="00DA1273"/>
    <w:rsid w:val="00DA3F99"/>
    <w:rsid w:val="00DB009E"/>
    <w:rsid w:val="00DB437C"/>
    <w:rsid w:val="00DB450E"/>
    <w:rsid w:val="00DB709B"/>
    <w:rsid w:val="00DC5B83"/>
    <w:rsid w:val="00DD1D77"/>
    <w:rsid w:val="00DD6932"/>
    <w:rsid w:val="00DF148B"/>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paragraph" w:styleId="Header">
    <w:name w:val="header"/>
    <w:basedOn w:val="Normal"/>
    <w:link w:val="HeaderChar"/>
    <w:rsid w:val="00D7135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71356"/>
    <w:rPr>
      <w:rFonts w:ascii="Times New Roman" w:eastAsia="Times New Roman" w:hAnsi="Times New Roman" w:cs="Times New Roman"/>
      <w:sz w:val="20"/>
      <w:szCs w:val="20"/>
    </w:rPr>
  </w:style>
  <w:style w:type="paragraph" w:customStyle="1" w:styleId="Body">
    <w:name w:val="Body"/>
    <w:rsid w:val="00D71356"/>
    <w:pPr>
      <w:spacing w:after="240" w:line="240" w:lineRule="auto"/>
    </w:pPr>
    <w:rPr>
      <w:rFonts w:ascii="Helvetica" w:eastAsia="ヒラギノ角ゴ Pro W3" w:hAnsi="Helvetica" w:cs="Times New Roman"/>
      <w:color w:val="000000"/>
      <w:sz w:val="24"/>
      <w:szCs w:val="20"/>
      <w:lang w:val="en-US"/>
    </w:rPr>
  </w:style>
  <w:style w:type="paragraph" w:styleId="NormalWeb">
    <w:name w:val="Normal (Web)"/>
    <w:basedOn w:val="Normal"/>
    <w:uiPriority w:val="99"/>
    <w:semiHidden/>
    <w:unhideWhenUsed/>
    <w:rsid w:val="00D71356"/>
    <w:pPr>
      <w:spacing w:after="0" w:line="240" w:lineRule="auto"/>
    </w:pPr>
    <w:rPr>
      <w:rFonts w:ascii="Arial" w:eastAsiaTheme="minorEastAsia" w:hAnsi="Arial" w:cs="Arial"/>
      <w:color w:val="333333"/>
      <w:lang w:eastAsia="en-GB"/>
    </w:rPr>
  </w:style>
  <w:style w:type="character" w:customStyle="1" w:styleId="highlight1">
    <w:name w:val="highlight1"/>
    <w:rsid w:val="00D71356"/>
    <w:rPr>
      <w:shd w:val="clear" w:color="auto" w:fill="F2F5F8"/>
    </w:rPr>
  </w:style>
  <w:style w:type="paragraph" w:customStyle="1" w:styleId="paragraph">
    <w:name w:val="paragraph"/>
    <w:basedOn w:val="Normal"/>
    <w:rsid w:val="000C7F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7FBC"/>
  </w:style>
  <w:style w:type="character" w:customStyle="1" w:styleId="eop">
    <w:name w:val="eop"/>
    <w:basedOn w:val="DefaultParagraphFont"/>
    <w:rsid w:val="000C7FBC"/>
  </w:style>
  <w:style w:type="character" w:styleId="Strong">
    <w:name w:val="Strong"/>
    <w:basedOn w:val="DefaultParagraphFont"/>
    <w:uiPriority w:val="22"/>
    <w:qFormat/>
    <w:rsid w:val="000C7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008409865">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mr.dundee.ac.uk/staff/prof-james-chal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Ross Archibald</cp:lastModifiedBy>
  <cp:revision>3</cp:revision>
  <cp:lastPrinted>2018-11-27T21:36:00Z</cp:lastPrinted>
  <dcterms:created xsi:type="dcterms:W3CDTF">2021-11-05T10:28:00Z</dcterms:created>
  <dcterms:modified xsi:type="dcterms:W3CDTF">2021-11-19T12:23:00Z</dcterms:modified>
</cp:coreProperties>
</file>