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08E5" w14:textId="0C6DC490" w:rsidR="001976E1" w:rsidRDefault="00495498" w:rsidP="00495498">
      <w:r>
        <w:rPr>
          <w:noProof/>
          <w:lang w:eastAsia="en-GB"/>
        </w:rPr>
        <w:drawing>
          <wp:inline distT="0" distB="0" distL="0" distR="0" wp14:anchorId="6A1A9111" wp14:editId="55D7596C">
            <wp:extent cx="3962400" cy="142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QU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F66"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F3CD9" w:rsidRPr="001D5159" w14:paraId="139BB1E1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50D7F92E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Title of studentship</w:t>
            </w:r>
          </w:p>
        </w:tc>
        <w:tc>
          <w:tcPr>
            <w:tcW w:w="7730" w:type="dxa"/>
          </w:tcPr>
          <w:p w14:paraId="087F3833" w14:textId="471C909E" w:rsidR="007F3CD9" w:rsidRPr="001D5159" w:rsidRDefault="005454A1" w:rsidP="006631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Antibiotic Resistance and Biofilm Formation in Clinical Isolates of </w:t>
            </w:r>
            <w:r w:rsidRPr="002351B2">
              <w:rPr>
                <w:rFonts w:ascii="Calibri" w:hAnsi="Calibri"/>
                <w:i/>
                <w:iCs/>
              </w:rPr>
              <w:t>Enterococcus faecium</w:t>
            </w:r>
            <w:r>
              <w:rPr>
                <w:rFonts w:ascii="Calibri" w:hAnsi="Calibri"/>
              </w:rPr>
              <w:t xml:space="preserve"> – a WHO High Priority Pathogen</w:t>
            </w:r>
          </w:p>
        </w:tc>
      </w:tr>
      <w:tr w:rsidR="007F3CD9" w:rsidRPr="001D5159" w14:paraId="5693CC34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5703C4CD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Value</w:t>
            </w:r>
            <w:r w:rsidR="000F380D" w:rsidRPr="001D5159">
              <w:rPr>
                <w:rFonts w:ascii="Calibri" w:hAnsi="Calibri"/>
                <w:b/>
              </w:rPr>
              <w:t xml:space="preserve"> / what is covered? </w:t>
            </w:r>
          </w:p>
        </w:tc>
        <w:tc>
          <w:tcPr>
            <w:tcW w:w="7730" w:type="dxa"/>
          </w:tcPr>
          <w:p w14:paraId="48EB8F2A" w14:textId="77777777" w:rsidR="00B82C73" w:rsidRDefault="00B82C73" w:rsidP="00B82C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Fully funded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E01C99" w14:textId="77777777" w:rsidR="00B82C73" w:rsidRDefault="00B82C73" w:rsidP="00B82C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B5C0FF" w14:textId="77777777" w:rsidR="00B82C73" w:rsidRDefault="00B82C73" w:rsidP="00B82C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100% of UK/EU tuition fees paid and an annual stipend for UK residents only (living expenses), currently 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 xml:space="preserve">at </w:t>
            </w:r>
            <w:r w:rsidRPr="00B82C73"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£15,285</w:t>
            </w:r>
          </w:p>
          <w:p w14:paraId="4D692A97" w14:textId="33F8A0DA" w:rsidR="007C3A10" w:rsidRPr="001D5159" w:rsidRDefault="007C3A10" w:rsidP="00FB1B0D">
            <w:pPr>
              <w:rPr>
                <w:rFonts w:ascii="Calibri" w:hAnsi="Calibri"/>
              </w:rPr>
            </w:pPr>
          </w:p>
        </w:tc>
      </w:tr>
      <w:tr w:rsidR="007F3CD9" w:rsidRPr="001D5159" w14:paraId="7BE5D50C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F0DCF90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Awarding body</w:t>
            </w:r>
          </w:p>
        </w:tc>
        <w:tc>
          <w:tcPr>
            <w:tcW w:w="7730" w:type="dxa"/>
          </w:tcPr>
          <w:p w14:paraId="4FE0BE00" w14:textId="60B492D5" w:rsidR="007F3CD9" w:rsidRPr="001D5159" w:rsidRDefault="006328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DfE</w:t>
            </w:r>
          </w:p>
        </w:tc>
      </w:tr>
      <w:tr w:rsidR="007F3CD9" w:rsidRPr="001D5159" w14:paraId="0FD83558" w14:textId="77777777" w:rsidTr="001D5159">
        <w:trPr>
          <w:trHeight w:val="557"/>
        </w:trPr>
        <w:tc>
          <w:tcPr>
            <w:tcW w:w="1512" w:type="dxa"/>
            <w:shd w:val="clear" w:color="auto" w:fill="DEEAF6" w:themeFill="accent1" w:themeFillTint="33"/>
          </w:tcPr>
          <w:p w14:paraId="3B2B1F67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Number of studentships</w:t>
            </w:r>
          </w:p>
        </w:tc>
        <w:tc>
          <w:tcPr>
            <w:tcW w:w="7730" w:type="dxa"/>
          </w:tcPr>
          <w:p w14:paraId="00607795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1</w:t>
            </w:r>
          </w:p>
        </w:tc>
      </w:tr>
      <w:tr w:rsidR="007F3CD9" w:rsidRPr="001D5159" w14:paraId="7D945C08" w14:textId="77777777" w:rsidTr="00873281">
        <w:trPr>
          <w:trHeight w:val="1412"/>
        </w:trPr>
        <w:tc>
          <w:tcPr>
            <w:tcW w:w="1512" w:type="dxa"/>
            <w:shd w:val="clear" w:color="auto" w:fill="DEEAF6" w:themeFill="accent1" w:themeFillTint="33"/>
          </w:tcPr>
          <w:p w14:paraId="74833CDF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Summary </w:t>
            </w:r>
            <w:r w:rsidR="00270CA4" w:rsidRPr="001D5159">
              <w:rPr>
                <w:rFonts w:ascii="Calibri" w:hAnsi="Calibri"/>
                <w:b/>
              </w:rPr>
              <w:t xml:space="preserve">descriptive </w:t>
            </w:r>
            <w:r w:rsidR="007F3CD9" w:rsidRPr="001D5159">
              <w:rPr>
                <w:rFonts w:ascii="Calibri" w:hAnsi="Calibri"/>
                <w:b/>
              </w:rPr>
              <w:t>text</w:t>
            </w:r>
            <w:r w:rsidR="00270CA4" w:rsidRPr="001D5159">
              <w:rPr>
                <w:rFonts w:ascii="Calibri" w:hAnsi="Calibri"/>
                <w:b/>
              </w:rPr>
              <w:t xml:space="preserve"> / Example of research project </w:t>
            </w:r>
          </w:p>
        </w:tc>
        <w:tc>
          <w:tcPr>
            <w:tcW w:w="7730" w:type="dxa"/>
          </w:tcPr>
          <w:p w14:paraId="3F6D90D5" w14:textId="43D29730" w:rsidR="00A26092" w:rsidRDefault="002351B2" w:rsidP="00A26092">
            <w:pPr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2351B2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E. faecium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is an important human pathogen which exhibits resistance to a range of antibiotics, and is implicated in a wide variety of device associated infections. </w:t>
            </w:r>
            <w:r w:rsidR="005454A1" w:rsidRPr="005454A1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Due to its clinical significance, the World Health Organization (WHO) assigned vancomycin-resistant </w:t>
            </w:r>
            <w:r w:rsidR="005454A1" w:rsidRPr="005454A1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E. faecium</w:t>
            </w:r>
            <w:r w:rsidR="005454A1" w:rsidRPr="005454A1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(VREF) as a high priority pathogen on its global priority list of antibiotic-resistant bacteria</w:t>
            </w:r>
            <w:r w:rsidR="005454A1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Aggregation and biofilm formation are important mechanisms of tolerance in </w:t>
            </w:r>
            <w:r w:rsidRPr="002351B2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E. faecium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but are poorly described in the context of urinary tract devices, where it is a predominant pathogen. This project seeks to understand the mechanisms of resistance, tolerance and aggregation in clinical isolates of </w:t>
            </w:r>
            <w:r w:rsidRPr="002351B2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E. f</w:t>
            </w:r>
            <w:r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ae</w:t>
            </w:r>
            <w:r w:rsidRPr="002351B2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cium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derived from urinary tract devices, including ureteral stents.</w:t>
            </w:r>
          </w:p>
          <w:p w14:paraId="34F22022" w14:textId="77777777" w:rsidR="005454A1" w:rsidRDefault="005454A1" w:rsidP="00A26092">
            <w:pPr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  <w:p w14:paraId="3F0CA11A" w14:textId="1DF83C8D" w:rsidR="00A26092" w:rsidRPr="00A26092" w:rsidRDefault="00A26092" w:rsidP="00A26092">
            <w:pPr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The successful candidate will join a </w:t>
            </w:r>
            <w:r w:rsidR="009318A4">
              <w:rPr>
                <w:rFonts w:ascii="Calibri" w:hAnsi="Calibri" w:cs="Calibri"/>
                <w:color w:val="000000" w:themeColor="text1"/>
                <w:shd w:val="clear" w:color="auto" w:fill="FFFFFF"/>
              </w:rPr>
              <w:t>dynamic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</w:t>
            </w:r>
            <w:r w:rsidR="002351B2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biofilm 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research group focused </w:t>
            </w:r>
            <w:r w:rsidR="002351B2">
              <w:rPr>
                <w:rFonts w:ascii="Calibri" w:hAnsi="Calibri" w:cs="Calibri"/>
                <w:color w:val="000000" w:themeColor="text1"/>
                <w:shd w:val="clear" w:color="auto" w:fill="FFFFFF"/>
              </w:rPr>
              <w:t>understanding the mechanisms of biofilm formation and developing novel approaches to their detection and control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. Th</w:t>
            </w:r>
            <w:r w:rsidR="002351B2">
              <w:rPr>
                <w:rFonts w:ascii="Calibri" w:hAnsi="Calibri" w:cs="Calibri"/>
                <w:color w:val="000000" w:themeColor="text1"/>
                <w:shd w:val="clear" w:color="auto" w:fill="FFFFFF"/>
              </w:rPr>
              <w:t>e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</w:t>
            </w:r>
            <w:r w:rsidR="002351B2">
              <w:rPr>
                <w:rFonts w:ascii="Calibri" w:hAnsi="Calibri" w:cs="Calibri"/>
                <w:color w:val="000000" w:themeColor="text1"/>
                <w:shd w:val="clear" w:color="auto" w:fill="FFFFFF"/>
              </w:rPr>
              <w:t>project will combine classical culture-based methodologies of isolation, planktonic and biofilm culture models and biofilm antibiotic susceptibility assays alongside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DNA analysis </w:t>
            </w:r>
            <w:r w:rsidR="002351B2">
              <w:rPr>
                <w:rFonts w:ascii="Calibri" w:hAnsi="Calibri" w:cs="Calibri"/>
                <w:color w:val="000000" w:themeColor="text1"/>
                <w:shd w:val="clear" w:color="auto" w:fill="FFFFFF"/>
              </w:rPr>
              <w:t>(PCR, next generation sequencing, comparative genomics)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. The student will build on existing expertise in the group to </w:t>
            </w:r>
            <w:r w:rsidR="002351B2">
              <w:rPr>
                <w:rFonts w:ascii="Calibri" w:hAnsi="Calibri" w:cs="Calibri"/>
                <w:color w:val="000000" w:themeColor="text1"/>
                <w:shd w:val="clear" w:color="auto" w:fill="FFFFFF"/>
              </w:rPr>
              <w:t>elucidate E. faecium aggregation and biofilm formation, antibiotic resistance</w:t>
            </w:r>
            <w:r w:rsidR="00B16919">
              <w:rPr>
                <w:rFonts w:ascii="Calibri" w:hAnsi="Calibri" w:cs="Calibri"/>
                <w:color w:val="000000" w:themeColor="text1"/>
                <w:shd w:val="clear" w:color="auto" w:fill="FFFFFF"/>
              </w:rPr>
              <w:t>, tolerance and persister formation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.</w:t>
            </w:r>
            <w:r w:rsidR="00213C8A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</w:t>
            </w:r>
            <w:r w:rsidR="00B16919">
              <w:rPr>
                <w:rFonts w:ascii="Calibri" w:hAnsi="Calibri" w:cs="Calibri"/>
                <w:color w:val="000000" w:themeColor="text1"/>
                <w:shd w:val="clear" w:color="auto" w:fill="FFFFFF"/>
              </w:rPr>
              <w:t>The project benefits from clinical supervisory links to the Belfast City Hospital Renal Transplant Unit, with the potential for findings to influence clinical practice</w:t>
            </w:r>
            <w:r w:rsidR="00213C8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.</w:t>
            </w:r>
          </w:p>
          <w:p w14:paraId="69C31F4A" w14:textId="09FD85F6" w:rsidR="00257E72" w:rsidRPr="00A26092" w:rsidRDefault="00257E72" w:rsidP="003125A1">
            <w:pPr>
              <w:jc w:val="both"/>
              <w:rPr>
                <w:rFonts w:ascii="Calibri" w:hAnsi="Calibri"/>
              </w:rPr>
            </w:pPr>
          </w:p>
        </w:tc>
      </w:tr>
      <w:tr w:rsidR="00695F66" w:rsidRPr="001D5159" w14:paraId="4E56534D" w14:textId="77777777" w:rsidTr="00873281">
        <w:trPr>
          <w:trHeight w:val="625"/>
        </w:trPr>
        <w:tc>
          <w:tcPr>
            <w:tcW w:w="1512" w:type="dxa"/>
            <w:shd w:val="clear" w:color="auto" w:fill="DEEAF6" w:themeFill="accent1" w:themeFillTint="33"/>
          </w:tcPr>
          <w:p w14:paraId="3F9B8C4D" w14:textId="77777777" w:rsidR="00695F66" w:rsidRPr="001D5159" w:rsidRDefault="000F6B4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*Supervisor(s)</w:t>
            </w:r>
          </w:p>
        </w:tc>
        <w:tc>
          <w:tcPr>
            <w:tcW w:w="7730" w:type="dxa"/>
          </w:tcPr>
          <w:p w14:paraId="4D62474E" w14:textId="02F9CBBC" w:rsidR="00695F66" w:rsidRPr="001D5159" w:rsidRDefault="00502C57" w:rsidP="00BC3878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 xml:space="preserve"> </w:t>
            </w:r>
            <w:r w:rsidR="002351B2">
              <w:rPr>
                <w:rFonts w:ascii="Calibri" w:hAnsi="Calibri"/>
              </w:rPr>
              <w:t xml:space="preserve">Prof Brendan Gilmore, </w:t>
            </w:r>
            <w:r w:rsidR="00632813">
              <w:rPr>
                <w:rFonts w:ascii="Calibri" w:hAnsi="Calibri"/>
              </w:rPr>
              <w:t>Dr Stephen Kelly</w:t>
            </w:r>
            <w:r w:rsidR="00B16919">
              <w:rPr>
                <w:rFonts w:ascii="Calibri" w:hAnsi="Calibri"/>
              </w:rPr>
              <w:t>, Mr Tim Brown (Consultant Transplant Surgeon)</w:t>
            </w:r>
          </w:p>
        </w:tc>
      </w:tr>
      <w:tr w:rsidR="007F3CD9" w:rsidRPr="001D5159" w14:paraId="4E0B3869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0C69440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1B792D" w:rsidRPr="001D5159">
              <w:rPr>
                <w:rFonts w:ascii="Calibri" w:hAnsi="Calibri"/>
                <w:b/>
              </w:rPr>
              <w:t xml:space="preserve">Eligibility / residence </w:t>
            </w:r>
            <w:r w:rsidR="007F3CD9" w:rsidRPr="001D5159">
              <w:rPr>
                <w:rFonts w:ascii="Calibri" w:hAnsi="Calibri"/>
                <w:b/>
              </w:rPr>
              <w:t>Status</w:t>
            </w:r>
          </w:p>
        </w:tc>
        <w:tc>
          <w:tcPr>
            <w:tcW w:w="7730" w:type="dxa"/>
          </w:tcPr>
          <w:p w14:paraId="3D324EF1" w14:textId="16D28160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ED025C8" w14:textId="77777777" w:rsidTr="008B1ADC">
        <w:trPr>
          <w:trHeight w:val="656"/>
        </w:trPr>
        <w:tc>
          <w:tcPr>
            <w:tcW w:w="1512" w:type="dxa"/>
            <w:shd w:val="clear" w:color="auto" w:fill="DEEAF6" w:themeFill="accent1" w:themeFillTint="33"/>
          </w:tcPr>
          <w:p w14:paraId="1F7FEB3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Country</w:t>
            </w:r>
          </w:p>
        </w:tc>
        <w:tc>
          <w:tcPr>
            <w:tcW w:w="7730" w:type="dxa"/>
          </w:tcPr>
          <w:p w14:paraId="096F5302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Northern Ireland</w:t>
            </w:r>
          </w:p>
        </w:tc>
      </w:tr>
      <w:tr w:rsidR="007F3CD9" w:rsidRPr="001D5159" w14:paraId="5A9A4024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2462A05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Start date and duration </w:t>
            </w:r>
          </w:p>
        </w:tc>
        <w:tc>
          <w:tcPr>
            <w:tcW w:w="7730" w:type="dxa"/>
          </w:tcPr>
          <w:p w14:paraId="4010ABC3" w14:textId="225E6F6C" w:rsidR="007F3CD9" w:rsidRPr="001D5159" w:rsidRDefault="00632813" w:rsidP="00BC3878">
            <w:pPr>
              <w:rPr>
                <w:rFonts w:ascii="Calibri" w:hAnsi="Calibri"/>
              </w:rPr>
            </w:pPr>
            <w:r>
              <w:t>October 2022 – September 2025</w:t>
            </w:r>
          </w:p>
        </w:tc>
      </w:tr>
      <w:tr w:rsidR="007F3CD9" w:rsidRPr="001D5159" w14:paraId="28F29B22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6A9B78EC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lastRenderedPageBreak/>
              <w:t>*</w:t>
            </w:r>
            <w:r w:rsidR="007F3CD9" w:rsidRPr="001D5159">
              <w:rPr>
                <w:rFonts w:ascii="Calibri" w:hAnsi="Calibri"/>
                <w:b/>
              </w:rPr>
              <w:t>Faculty</w:t>
            </w:r>
          </w:p>
        </w:tc>
        <w:tc>
          <w:tcPr>
            <w:tcW w:w="7730" w:type="dxa"/>
          </w:tcPr>
          <w:p w14:paraId="697AD963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MHLS</w:t>
            </w:r>
          </w:p>
        </w:tc>
      </w:tr>
      <w:tr w:rsidR="007F3CD9" w:rsidRPr="001D5159" w14:paraId="0F4A202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E363DF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Research centre / School</w:t>
            </w:r>
          </w:p>
        </w:tc>
        <w:tc>
          <w:tcPr>
            <w:tcW w:w="7730" w:type="dxa"/>
          </w:tcPr>
          <w:p w14:paraId="01F42C0A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Pharmacy</w:t>
            </w:r>
          </w:p>
        </w:tc>
      </w:tr>
      <w:tr w:rsidR="001B792D" w:rsidRPr="001D5159" w14:paraId="2B55D6E4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9BF30B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Subject area</w:t>
            </w:r>
          </w:p>
        </w:tc>
        <w:tc>
          <w:tcPr>
            <w:tcW w:w="7730" w:type="dxa"/>
          </w:tcPr>
          <w:p w14:paraId="26BC92BB" w14:textId="24B9FB85" w:rsidR="001B792D" w:rsidRPr="001D5159" w:rsidRDefault="001B792D">
            <w:pPr>
              <w:rPr>
                <w:rFonts w:ascii="Calibri" w:hAnsi="Calibri"/>
              </w:rPr>
            </w:pPr>
          </w:p>
        </w:tc>
      </w:tr>
      <w:tr w:rsidR="007F3CD9" w:rsidRPr="001D5159" w14:paraId="37F2D25C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1721C332" w14:textId="77777777" w:rsidR="007F3CD9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Candidate requirements / K</w:t>
            </w:r>
            <w:r w:rsidR="00695F66" w:rsidRPr="001D5159">
              <w:rPr>
                <w:rFonts w:ascii="Calibri" w:hAnsi="Calibri"/>
                <w:b/>
              </w:rPr>
              <w:t xml:space="preserve">ey skills required for the post </w:t>
            </w:r>
          </w:p>
          <w:p w14:paraId="054A0AE4" w14:textId="77777777" w:rsidR="00695F66" w:rsidRPr="001D5159" w:rsidRDefault="00695F66">
            <w:pPr>
              <w:rPr>
                <w:rFonts w:ascii="Calibri" w:hAnsi="Calibri"/>
                <w:b/>
              </w:rPr>
            </w:pPr>
          </w:p>
        </w:tc>
        <w:tc>
          <w:tcPr>
            <w:tcW w:w="7730" w:type="dxa"/>
          </w:tcPr>
          <w:p w14:paraId="0B0D5859" w14:textId="1784EE47" w:rsidR="007F3CD9" w:rsidRDefault="007C3A10">
            <w:pPr>
              <w:rPr>
                <w:rFonts w:ascii="Calibri" w:hAnsi="Calibri" w:cs="Arial"/>
              </w:rPr>
            </w:pPr>
            <w:r w:rsidRPr="001D5159">
              <w:rPr>
                <w:rFonts w:ascii="Calibri" w:hAnsi="Calibri" w:cs="Arial"/>
              </w:rPr>
              <w:t xml:space="preserve">Applicants should have a 1st or 2.1 honours degree (or equivalent) in a relevant subject. Relevant subjects include </w:t>
            </w:r>
            <w:r w:rsidR="00090D75" w:rsidRPr="001D5159">
              <w:rPr>
                <w:rFonts w:ascii="Calibri" w:hAnsi="Calibri" w:cs="Arial"/>
              </w:rPr>
              <w:t>Pharmacy</w:t>
            </w:r>
            <w:r w:rsidR="00090D75">
              <w:rPr>
                <w:rFonts w:ascii="Calibri" w:hAnsi="Calibri" w:cs="Arial"/>
              </w:rPr>
              <w:t>, Pharmaceutical</w:t>
            </w:r>
            <w:r w:rsidRPr="001D5159">
              <w:rPr>
                <w:rFonts w:ascii="Calibri" w:hAnsi="Calibri" w:cs="Arial"/>
              </w:rPr>
              <w:t xml:space="preserve"> Sciences, </w:t>
            </w:r>
            <w:r w:rsidR="00B16919">
              <w:rPr>
                <w:rFonts w:ascii="Calibri" w:hAnsi="Calibri" w:cs="Arial"/>
              </w:rPr>
              <w:t>Microbiology, Molecular Biology</w:t>
            </w:r>
            <w:r w:rsidR="00E41AE4" w:rsidRPr="001D5159">
              <w:rPr>
                <w:rFonts w:ascii="Calibri" w:hAnsi="Calibri" w:cs="Arial"/>
              </w:rPr>
              <w:t xml:space="preserve">, or </w:t>
            </w:r>
            <w:r w:rsidRPr="001D5159">
              <w:rPr>
                <w:rFonts w:ascii="Calibri" w:hAnsi="Calibri" w:cs="Arial"/>
              </w:rPr>
              <w:t>a closely related discipline. Students who have a 2.2 honours degree and a Master’s degree may also be considered, but the School reserves the right to shortlist for interview only those applicants who have demonstrated high academic attainment to date</w:t>
            </w:r>
            <w:r w:rsidR="007523AE">
              <w:rPr>
                <w:rFonts w:ascii="Calibri" w:hAnsi="Calibri" w:cs="Arial"/>
              </w:rPr>
              <w:t>.</w:t>
            </w:r>
          </w:p>
          <w:p w14:paraId="04908960" w14:textId="747FBEA3" w:rsidR="00C315D7" w:rsidRPr="001D5159" w:rsidRDefault="00C315D7" w:rsidP="008B1ADC">
            <w:pPr>
              <w:rPr>
                <w:rFonts w:ascii="Calibri" w:hAnsi="Calibri"/>
              </w:rPr>
            </w:pPr>
          </w:p>
        </w:tc>
      </w:tr>
      <w:tr w:rsidR="007F3CD9" w:rsidRPr="001D5159" w14:paraId="20B23C1A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97CECE2" w14:textId="09D31F22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Deadline for applications</w:t>
            </w:r>
          </w:p>
        </w:tc>
        <w:tc>
          <w:tcPr>
            <w:tcW w:w="7730" w:type="dxa"/>
          </w:tcPr>
          <w:p w14:paraId="489895A8" w14:textId="10A4FAD7" w:rsidR="007F3CD9" w:rsidRPr="001D5159" w:rsidRDefault="007F3CD9" w:rsidP="00C33F84">
            <w:pPr>
              <w:rPr>
                <w:rFonts w:ascii="Calibri" w:hAnsi="Calibri"/>
              </w:rPr>
            </w:pPr>
          </w:p>
        </w:tc>
      </w:tr>
      <w:tr w:rsidR="007F3CD9" w:rsidRPr="001D5159" w14:paraId="7A487D07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0B884C3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How to apply / contacts</w:t>
            </w:r>
          </w:p>
        </w:tc>
        <w:tc>
          <w:tcPr>
            <w:tcW w:w="7730" w:type="dxa"/>
          </w:tcPr>
          <w:p w14:paraId="71CA2C71" w14:textId="21F3316D" w:rsidR="007F3CD9" w:rsidRPr="001D5159" w:rsidRDefault="007F3CD9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Postgraduate Research applicants</w:t>
            </w:r>
            <w:r w:rsidR="007C3A10" w:rsidRPr="001D5159">
              <w:rPr>
                <w:rFonts w:ascii="Calibri" w:hAnsi="Calibri"/>
              </w:rPr>
              <w:t xml:space="preserve"> </w:t>
            </w:r>
            <w:r w:rsidRPr="001D5159">
              <w:rPr>
                <w:rFonts w:ascii="Calibri" w:hAnsi="Calibri"/>
              </w:rPr>
              <w:t xml:space="preserve">must have applied to Queen’s, via </w:t>
            </w:r>
            <w:r w:rsidR="00C33F84">
              <w:rPr>
                <w:rFonts w:ascii="Calibri" w:hAnsi="Calibri"/>
              </w:rPr>
              <w:t>the Direct Applications Portal.</w:t>
            </w:r>
          </w:p>
          <w:p w14:paraId="7417D1C6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50D79A55" w14:textId="77777777" w:rsidR="007F3CD9" w:rsidRPr="001D5159" w:rsidRDefault="00B82C73">
            <w:pPr>
              <w:rPr>
                <w:rFonts w:ascii="Calibri" w:hAnsi="Calibri"/>
              </w:rPr>
            </w:pPr>
            <w:hyperlink r:id="rId6" w:history="1">
              <w:r w:rsidR="007F3CD9" w:rsidRPr="001D5159">
                <w:rPr>
                  <w:rStyle w:val="Hyperlink"/>
                  <w:rFonts w:ascii="Calibri" w:hAnsi="Calibri"/>
                </w:rPr>
                <w:t>https://dap.qub.ac.uk/portal/user/u_login.php</w:t>
              </w:r>
            </w:hyperlink>
            <w:r w:rsidR="007F3CD9" w:rsidRPr="001D5159">
              <w:rPr>
                <w:rFonts w:ascii="Calibri" w:hAnsi="Calibri"/>
              </w:rPr>
              <w:t xml:space="preserve"> </w:t>
            </w:r>
            <w:r w:rsidR="007F3CD9" w:rsidRPr="001D5159">
              <w:rPr>
                <w:rFonts w:ascii="Calibri" w:hAnsi="Calibri"/>
              </w:rPr>
              <w:br/>
            </w:r>
          </w:p>
        </w:tc>
      </w:tr>
      <w:tr w:rsidR="007F3CD9" w:rsidRPr="001D5159" w14:paraId="768977FD" w14:textId="77777777" w:rsidTr="00F120B1">
        <w:trPr>
          <w:trHeight w:val="1799"/>
        </w:trPr>
        <w:tc>
          <w:tcPr>
            <w:tcW w:w="1512" w:type="dxa"/>
            <w:shd w:val="clear" w:color="auto" w:fill="DEEAF6" w:themeFill="accent1" w:themeFillTint="33"/>
          </w:tcPr>
          <w:p w14:paraId="49F160B1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 xml:space="preserve">Relevant links </w:t>
            </w:r>
            <w:r w:rsidR="001B792D" w:rsidRPr="001D5159">
              <w:rPr>
                <w:rFonts w:ascii="Calibri" w:hAnsi="Calibri"/>
                <w:b/>
              </w:rPr>
              <w:t xml:space="preserve">/ more information </w:t>
            </w:r>
          </w:p>
          <w:p w14:paraId="4C17368C" w14:textId="77777777" w:rsidR="007F3CD9" w:rsidRPr="001D5159" w:rsidRDefault="007F3CD9">
            <w:pPr>
              <w:rPr>
                <w:rFonts w:ascii="Calibri" w:hAnsi="Calibri"/>
              </w:rPr>
            </w:pPr>
          </w:p>
        </w:tc>
        <w:tc>
          <w:tcPr>
            <w:tcW w:w="7730" w:type="dxa"/>
          </w:tcPr>
          <w:p w14:paraId="3194874E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2A178B23" w14:textId="77777777" w:rsidR="007F3CD9" w:rsidRPr="001D5159" w:rsidRDefault="00B82C73">
            <w:pPr>
              <w:rPr>
                <w:rFonts w:ascii="Calibri" w:hAnsi="Calibri"/>
              </w:rPr>
            </w:pPr>
            <w:hyperlink r:id="rId7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http://www.qub.ac.uk/schools/SchoolofPharmacy/Research/PostgraduatePositions/</w:t>
              </w:r>
            </w:hyperlink>
          </w:p>
          <w:p w14:paraId="64418259" w14:textId="77777777" w:rsidR="007C3A10" w:rsidRPr="001D5159" w:rsidRDefault="007C3A10">
            <w:pPr>
              <w:rPr>
                <w:rFonts w:ascii="Calibri" w:hAnsi="Calibri"/>
              </w:rPr>
            </w:pPr>
          </w:p>
          <w:p w14:paraId="403278DB" w14:textId="77777777" w:rsidR="007C3A10" w:rsidRPr="001D5159" w:rsidRDefault="00B82C73">
            <w:pPr>
              <w:rPr>
                <w:rStyle w:val="Hyperlink"/>
                <w:rFonts w:ascii="Calibri" w:hAnsi="Calibri"/>
              </w:rPr>
            </w:pPr>
            <w:hyperlink r:id="rId8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</w:t>
              </w:r>
            </w:hyperlink>
          </w:p>
          <w:p w14:paraId="1CF021AD" w14:textId="77777777" w:rsidR="00960566" w:rsidRPr="001D5159" w:rsidRDefault="00960566" w:rsidP="00960566">
            <w:pPr>
              <w:rPr>
                <w:rFonts w:ascii="Calibri" w:hAnsi="Calibri"/>
              </w:rPr>
            </w:pPr>
          </w:p>
          <w:p w14:paraId="6B53524E" w14:textId="3A9F269F" w:rsidR="007C3A10" w:rsidRPr="001D5159" w:rsidRDefault="007C3A10">
            <w:pPr>
              <w:rPr>
                <w:rFonts w:ascii="Calibri" w:hAnsi="Calibri"/>
              </w:rPr>
            </w:pPr>
          </w:p>
        </w:tc>
      </w:tr>
      <w:tr w:rsidR="001B792D" w:rsidRPr="001D5159" w14:paraId="047D132B" w14:textId="77777777" w:rsidTr="00873281">
        <w:trPr>
          <w:trHeight w:val="576"/>
        </w:trPr>
        <w:tc>
          <w:tcPr>
            <w:tcW w:w="1512" w:type="dxa"/>
            <w:shd w:val="clear" w:color="auto" w:fill="DEEAF6" w:themeFill="accent1" w:themeFillTint="33"/>
          </w:tcPr>
          <w:p w14:paraId="12CD1648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Keywords for search filters</w:t>
            </w:r>
          </w:p>
        </w:tc>
        <w:tc>
          <w:tcPr>
            <w:tcW w:w="7730" w:type="dxa"/>
          </w:tcPr>
          <w:p w14:paraId="60DC74E3" w14:textId="2F9A9A0F" w:rsidR="001B792D" w:rsidRPr="001D5159" w:rsidRDefault="00734B9C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Microbiome, extremophile, enzymes, biocatalysis, biotechnology</w:t>
            </w:r>
          </w:p>
        </w:tc>
      </w:tr>
      <w:tr w:rsidR="001B792D" w:rsidRPr="001D5159" w14:paraId="0AC7B4C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4D54FEE9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Training provided through the research project</w:t>
            </w:r>
          </w:p>
        </w:tc>
        <w:tc>
          <w:tcPr>
            <w:tcW w:w="7730" w:type="dxa"/>
          </w:tcPr>
          <w:p w14:paraId="3D9C554A" w14:textId="2D42D6FB" w:rsidR="00090D75" w:rsidRDefault="00632813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successful candidate will be trained in microbiology, molecular biology techniques including molecular cloning, and microbial bioinformatics for analysis of </w:t>
            </w:r>
            <w:r w:rsidR="00B16919">
              <w:rPr>
                <w:rFonts w:ascii="Calibri" w:hAnsi="Calibri"/>
              </w:rPr>
              <w:t>whole genome</w:t>
            </w:r>
            <w:r>
              <w:rPr>
                <w:rFonts w:ascii="Calibri" w:hAnsi="Calibri"/>
              </w:rPr>
              <w:t xml:space="preserve"> DNA </w:t>
            </w:r>
            <w:r w:rsidR="00B16919">
              <w:rPr>
                <w:rFonts w:ascii="Calibri" w:hAnsi="Calibri"/>
              </w:rPr>
              <w:t xml:space="preserve">sequence </w:t>
            </w:r>
            <w:r>
              <w:rPr>
                <w:rFonts w:ascii="Calibri" w:hAnsi="Calibri"/>
              </w:rPr>
              <w:t xml:space="preserve">datasets, as well as project management and data analysis training. Training received during this studentship will ensure the successful candidate </w:t>
            </w:r>
            <w:r w:rsidR="006F0F42">
              <w:rPr>
                <w:rFonts w:ascii="Calibri" w:hAnsi="Calibri"/>
              </w:rPr>
              <w:t>possesses</w:t>
            </w:r>
            <w:r w:rsidR="00734B9C">
              <w:rPr>
                <w:rFonts w:ascii="Calibri" w:hAnsi="Calibri"/>
              </w:rPr>
              <w:t xml:space="preserve"> a comprehensive skillset</w:t>
            </w:r>
            <w:r w:rsidR="006F0F42">
              <w:rPr>
                <w:rFonts w:ascii="Calibri" w:hAnsi="Calibri"/>
              </w:rPr>
              <w:t>,</w:t>
            </w:r>
            <w:r w:rsidR="00734B9C">
              <w:rPr>
                <w:rFonts w:ascii="Calibri" w:hAnsi="Calibri"/>
              </w:rPr>
              <w:t xml:space="preserve"> of high </w:t>
            </w:r>
            <w:r w:rsidR="00A26092">
              <w:rPr>
                <w:rFonts w:ascii="Calibri" w:hAnsi="Calibri"/>
              </w:rPr>
              <w:t>relevance</w:t>
            </w:r>
            <w:r w:rsidR="00734B9C">
              <w:rPr>
                <w:rFonts w:ascii="Calibri" w:hAnsi="Calibri"/>
              </w:rPr>
              <w:t xml:space="preserve"> to </w:t>
            </w:r>
            <w:r w:rsidR="00A26092">
              <w:rPr>
                <w:rFonts w:ascii="Calibri" w:hAnsi="Calibri"/>
              </w:rPr>
              <w:t xml:space="preserve">a career in </w:t>
            </w:r>
            <w:r w:rsidR="00734B9C">
              <w:rPr>
                <w:rFonts w:ascii="Calibri" w:hAnsi="Calibri"/>
              </w:rPr>
              <w:t>the pharmaceutical industry or in academia.</w:t>
            </w:r>
          </w:p>
          <w:p w14:paraId="50C40384" w14:textId="01BCA897" w:rsidR="00090D75" w:rsidRPr="001D5159" w:rsidRDefault="00090D75" w:rsidP="00090D75">
            <w:pPr>
              <w:jc w:val="both"/>
              <w:rPr>
                <w:rFonts w:ascii="Calibri" w:hAnsi="Calibri"/>
              </w:rPr>
            </w:pPr>
          </w:p>
        </w:tc>
      </w:tr>
      <w:tr w:rsidR="001B792D" w:rsidRPr="001D5159" w14:paraId="35AA849E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A6DDC6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Expected impact activities</w:t>
            </w:r>
          </w:p>
        </w:tc>
        <w:tc>
          <w:tcPr>
            <w:tcW w:w="7730" w:type="dxa"/>
          </w:tcPr>
          <w:p w14:paraId="53AD2D2A" w14:textId="741227F6" w:rsidR="001B792D" w:rsidRPr="001D5159" w:rsidRDefault="00632813" w:rsidP="0066260E">
            <w:pPr>
              <w:jc w:val="both"/>
              <w:rPr>
                <w:rFonts w:ascii="Calibri" w:hAnsi="Calibri"/>
              </w:rPr>
            </w:pPr>
            <w:r>
              <w:t>Attendance at international conferences, including the opportunity for conference presentations. Publication in international, peer-reviewed journals.</w:t>
            </w:r>
            <w:r w:rsidR="00114E4B">
              <w:t xml:space="preserve"> Potential for </w:t>
            </w:r>
            <w:r w:rsidR="00B16919">
              <w:t xml:space="preserve">clinical </w:t>
            </w:r>
            <w:r w:rsidR="00114E4B">
              <w:t>collaboration and application of novel discoveries.</w:t>
            </w:r>
          </w:p>
        </w:tc>
      </w:tr>
    </w:tbl>
    <w:p w14:paraId="69AE6B80" w14:textId="77777777" w:rsidR="00375356" w:rsidRPr="001D5159" w:rsidRDefault="00375356">
      <w:pPr>
        <w:rPr>
          <w:rFonts w:ascii="Calibri" w:hAnsi="Calibri"/>
        </w:rPr>
      </w:pPr>
    </w:p>
    <w:sectPr w:rsidR="00375356" w:rsidRPr="001D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0375"/>
    <w:rsid w:val="00001543"/>
    <w:rsid w:val="00002F77"/>
    <w:rsid w:val="00012915"/>
    <w:rsid w:val="000140E0"/>
    <w:rsid w:val="00017B3A"/>
    <w:rsid w:val="000211E7"/>
    <w:rsid w:val="00036AC1"/>
    <w:rsid w:val="0006730B"/>
    <w:rsid w:val="0007487E"/>
    <w:rsid w:val="00074FC2"/>
    <w:rsid w:val="00076683"/>
    <w:rsid w:val="0008106D"/>
    <w:rsid w:val="00087903"/>
    <w:rsid w:val="00090D75"/>
    <w:rsid w:val="00093ED6"/>
    <w:rsid w:val="000976C2"/>
    <w:rsid w:val="000A78A3"/>
    <w:rsid w:val="000B1968"/>
    <w:rsid w:val="000B5232"/>
    <w:rsid w:val="000B5533"/>
    <w:rsid w:val="000B6594"/>
    <w:rsid w:val="000C6238"/>
    <w:rsid w:val="000D526E"/>
    <w:rsid w:val="000F0B0E"/>
    <w:rsid w:val="000F380D"/>
    <w:rsid w:val="000F550F"/>
    <w:rsid w:val="000F6B4D"/>
    <w:rsid w:val="000F6C8E"/>
    <w:rsid w:val="00100C14"/>
    <w:rsid w:val="00114809"/>
    <w:rsid w:val="00114E4B"/>
    <w:rsid w:val="001215F1"/>
    <w:rsid w:val="00125BB4"/>
    <w:rsid w:val="001262AC"/>
    <w:rsid w:val="00127B6D"/>
    <w:rsid w:val="00131E69"/>
    <w:rsid w:val="0013226E"/>
    <w:rsid w:val="00136716"/>
    <w:rsid w:val="00136A7C"/>
    <w:rsid w:val="0014119A"/>
    <w:rsid w:val="00147201"/>
    <w:rsid w:val="00152845"/>
    <w:rsid w:val="00152DAA"/>
    <w:rsid w:val="00152DD3"/>
    <w:rsid w:val="00152E17"/>
    <w:rsid w:val="00157E70"/>
    <w:rsid w:val="001757EF"/>
    <w:rsid w:val="001865C3"/>
    <w:rsid w:val="00190974"/>
    <w:rsid w:val="001976E1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5159"/>
    <w:rsid w:val="001D5A77"/>
    <w:rsid w:val="001E0C79"/>
    <w:rsid w:val="001E10DB"/>
    <w:rsid w:val="001E59D3"/>
    <w:rsid w:val="001E6AE7"/>
    <w:rsid w:val="001F273F"/>
    <w:rsid w:val="001F700A"/>
    <w:rsid w:val="0020192E"/>
    <w:rsid w:val="0020699C"/>
    <w:rsid w:val="00211ADC"/>
    <w:rsid w:val="00213C8A"/>
    <w:rsid w:val="0023305E"/>
    <w:rsid w:val="00234A97"/>
    <w:rsid w:val="002351B2"/>
    <w:rsid w:val="002438AA"/>
    <w:rsid w:val="0024565D"/>
    <w:rsid w:val="00257E72"/>
    <w:rsid w:val="002663D0"/>
    <w:rsid w:val="002679A5"/>
    <w:rsid w:val="00270CA4"/>
    <w:rsid w:val="00275E36"/>
    <w:rsid w:val="00276A24"/>
    <w:rsid w:val="00286380"/>
    <w:rsid w:val="002A0180"/>
    <w:rsid w:val="002A22B2"/>
    <w:rsid w:val="002A6F4F"/>
    <w:rsid w:val="002B644E"/>
    <w:rsid w:val="002B6455"/>
    <w:rsid w:val="002C1BB6"/>
    <w:rsid w:val="002E0374"/>
    <w:rsid w:val="002E6701"/>
    <w:rsid w:val="002F06D8"/>
    <w:rsid w:val="002F38B4"/>
    <w:rsid w:val="002F3D8F"/>
    <w:rsid w:val="00300B77"/>
    <w:rsid w:val="00303DAB"/>
    <w:rsid w:val="00312241"/>
    <w:rsid w:val="003125A1"/>
    <w:rsid w:val="00315F1B"/>
    <w:rsid w:val="00322E90"/>
    <w:rsid w:val="003313AB"/>
    <w:rsid w:val="0034159F"/>
    <w:rsid w:val="003418CF"/>
    <w:rsid w:val="00342E0B"/>
    <w:rsid w:val="003437FB"/>
    <w:rsid w:val="00346EA7"/>
    <w:rsid w:val="00347872"/>
    <w:rsid w:val="00353B81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ED6"/>
    <w:rsid w:val="00420A13"/>
    <w:rsid w:val="0043514D"/>
    <w:rsid w:val="00437BE9"/>
    <w:rsid w:val="00452039"/>
    <w:rsid w:val="004655AE"/>
    <w:rsid w:val="004658F1"/>
    <w:rsid w:val="0047023E"/>
    <w:rsid w:val="0047276F"/>
    <w:rsid w:val="00474150"/>
    <w:rsid w:val="00480978"/>
    <w:rsid w:val="00480D4A"/>
    <w:rsid w:val="0048607D"/>
    <w:rsid w:val="004874AA"/>
    <w:rsid w:val="00495498"/>
    <w:rsid w:val="004A4702"/>
    <w:rsid w:val="004B53C4"/>
    <w:rsid w:val="004C23B6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7250"/>
    <w:rsid w:val="0053253B"/>
    <w:rsid w:val="0053628D"/>
    <w:rsid w:val="00540AEB"/>
    <w:rsid w:val="00541A46"/>
    <w:rsid w:val="005454A1"/>
    <w:rsid w:val="00550AAE"/>
    <w:rsid w:val="00553AB1"/>
    <w:rsid w:val="0056009A"/>
    <w:rsid w:val="005634D9"/>
    <w:rsid w:val="00567EBE"/>
    <w:rsid w:val="00571B6D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32813"/>
    <w:rsid w:val="00636529"/>
    <w:rsid w:val="00636A02"/>
    <w:rsid w:val="0064028D"/>
    <w:rsid w:val="00640638"/>
    <w:rsid w:val="0064387C"/>
    <w:rsid w:val="00656476"/>
    <w:rsid w:val="00657EC8"/>
    <w:rsid w:val="0066260E"/>
    <w:rsid w:val="0066316A"/>
    <w:rsid w:val="00663A1A"/>
    <w:rsid w:val="006815A5"/>
    <w:rsid w:val="00695F66"/>
    <w:rsid w:val="006977CC"/>
    <w:rsid w:val="006B2D8B"/>
    <w:rsid w:val="006B5E92"/>
    <w:rsid w:val="006C2131"/>
    <w:rsid w:val="006C5676"/>
    <w:rsid w:val="006C60CA"/>
    <w:rsid w:val="006C6439"/>
    <w:rsid w:val="006C7069"/>
    <w:rsid w:val="006C778B"/>
    <w:rsid w:val="006D1994"/>
    <w:rsid w:val="006E4E27"/>
    <w:rsid w:val="006F0F42"/>
    <w:rsid w:val="006F3BF0"/>
    <w:rsid w:val="006F6EA4"/>
    <w:rsid w:val="00703E40"/>
    <w:rsid w:val="00704886"/>
    <w:rsid w:val="00720F2B"/>
    <w:rsid w:val="007268FC"/>
    <w:rsid w:val="00727F85"/>
    <w:rsid w:val="007347D4"/>
    <w:rsid w:val="00734B9C"/>
    <w:rsid w:val="007523AE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82E09"/>
    <w:rsid w:val="00793FA5"/>
    <w:rsid w:val="007B185B"/>
    <w:rsid w:val="007B1FB4"/>
    <w:rsid w:val="007B2C32"/>
    <w:rsid w:val="007B2E3E"/>
    <w:rsid w:val="007B515E"/>
    <w:rsid w:val="007B5CF8"/>
    <w:rsid w:val="007B6E4A"/>
    <w:rsid w:val="007C3A10"/>
    <w:rsid w:val="007D2A36"/>
    <w:rsid w:val="007D5797"/>
    <w:rsid w:val="007E0D0E"/>
    <w:rsid w:val="007E1054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5153F"/>
    <w:rsid w:val="00854482"/>
    <w:rsid w:val="0085462F"/>
    <w:rsid w:val="00862594"/>
    <w:rsid w:val="0087029C"/>
    <w:rsid w:val="00873281"/>
    <w:rsid w:val="00876D33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B1ADC"/>
    <w:rsid w:val="008B214C"/>
    <w:rsid w:val="008C083D"/>
    <w:rsid w:val="008F1C24"/>
    <w:rsid w:val="00901CF2"/>
    <w:rsid w:val="00911493"/>
    <w:rsid w:val="00925FA3"/>
    <w:rsid w:val="009279B9"/>
    <w:rsid w:val="009318A4"/>
    <w:rsid w:val="009453CE"/>
    <w:rsid w:val="0095334C"/>
    <w:rsid w:val="00956BE2"/>
    <w:rsid w:val="00957551"/>
    <w:rsid w:val="00960566"/>
    <w:rsid w:val="00981E1C"/>
    <w:rsid w:val="00982267"/>
    <w:rsid w:val="00982CC7"/>
    <w:rsid w:val="00983AD0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0B98"/>
    <w:rsid w:val="00A0196B"/>
    <w:rsid w:val="00A05C2D"/>
    <w:rsid w:val="00A131B2"/>
    <w:rsid w:val="00A14FEA"/>
    <w:rsid w:val="00A24586"/>
    <w:rsid w:val="00A2502A"/>
    <w:rsid w:val="00A26092"/>
    <w:rsid w:val="00A30D12"/>
    <w:rsid w:val="00A3441A"/>
    <w:rsid w:val="00A354B3"/>
    <w:rsid w:val="00A404C0"/>
    <w:rsid w:val="00A4488B"/>
    <w:rsid w:val="00A51E47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1612"/>
    <w:rsid w:val="00AF3133"/>
    <w:rsid w:val="00B030A3"/>
    <w:rsid w:val="00B07BDF"/>
    <w:rsid w:val="00B1507C"/>
    <w:rsid w:val="00B160F9"/>
    <w:rsid w:val="00B16919"/>
    <w:rsid w:val="00B16E01"/>
    <w:rsid w:val="00B21B3C"/>
    <w:rsid w:val="00B27846"/>
    <w:rsid w:val="00B359EF"/>
    <w:rsid w:val="00B363F2"/>
    <w:rsid w:val="00B40805"/>
    <w:rsid w:val="00B40C54"/>
    <w:rsid w:val="00B42F58"/>
    <w:rsid w:val="00B44FF9"/>
    <w:rsid w:val="00B47154"/>
    <w:rsid w:val="00B50BAC"/>
    <w:rsid w:val="00B55E28"/>
    <w:rsid w:val="00B6354C"/>
    <w:rsid w:val="00B703CE"/>
    <w:rsid w:val="00B82C73"/>
    <w:rsid w:val="00B937DC"/>
    <w:rsid w:val="00BA71ED"/>
    <w:rsid w:val="00BA75A3"/>
    <w:rsid w:val="00BB6F08"/>
    <w:rsid w:val="00BC2944"/>
    <w:rsid w:val="00BC3878"/>
    <w:rsid w:val="00BE032B"/>
    <w:rsid w:val="00BE346B"/>
    <w:rsid w:val="00BF08BD"/>
    <w:rsid w:val="00BF17EC"/>
    <w:rsid w:val="00BF4B26"/>
    <w:rsid w:val="00BF57DC"/>
    <w:rsid w:val="00C12418"/>
    <w:rsid w:val="00C2183A"/>
    <w:rsid w:val="00C263B0"/>
    <w:rsid w:val="00C315D7"/>
    <w:rsid w:val="00C31A8A"/>
    <w:rsid w:val="00C33F84"/>
    <w:rsid w:val="00C3441B"/>
    <w:rsid w:val="00C35113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16CA"/>
    <w:rsid w:val="00CE50BE"/>
    <w:rsid w:val="00CE6CFB"/>
    <w:rsid w:val="00D00807"/>
    <w:rsid w:val="00D0311E"/>
    <w:rsid w:val="00D063DA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84A9F"/>
    <w:rsid w:val="00D91A1F"/>
    <w:rsid w:val="00DA1273"/>
    <w:rsid w:val="00DA3F99"/>
    <w:rsid w:val="00DB009E"/>
    <w:rsid w:val="00DB437C"/>
    <w:rsid w:val="00DB450E"/>
    <w:rsid w:val="00DB709B"/>
    <w:rsid w:val="00DC5B83"/>
    <w:rsid w:val="00DD1D77"/>
    <w:rsid w:val="00DD663F"/>
    <w:rsid w:val="00DD6932"/>
    <w:rsid w:val="00DF148B"/>
    <w:rsid w:val="00E11BB2"/>
    <w:rsid w:val="00E1277F"/>
    <w:rsid w:val="00E166B5"/>
    <w:rsid w:val="00E177D8"/>
    <w:rsid w:val="00E2148C"/>
    <w:rsid w:val="00E27D11"/>
    <w:rsid w:val="00E35E2D"/>
    <w:rsid w:val="00E36870"/>
    <w:rsid w:val="00E41AE4"/>
    <w:rsid w:val="00E44D18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93C8B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1771"/>
    <w:rsid w:val="00F120B1"/>
    <w:rsid w:val="00F2645B"/>
    <w:rsid w:val="00F276FA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66B"/>
    <w:rsid w:val="00F82BDB"/>
    <w:rsid w:val="00F848EA"/>
    <w:rsid w:val="00F90DB4"/>
    <w:rsid w:val="00FB1B0D"/>
    <w:rsid w:val="00FB3233"/>
    <w:rsid w:val="00FB6942"/>
    <w:rsid w:val="00FC08F5"/>
    <w:rsid w:val="00FC2092"/>
    <w:rsid w:val="00FC4575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F7BBB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rsid w:val="00E93C8B"/>
  </w:style>
  <w:style w:type="paragraph" w:customStyle="1" w:styleId="paragraph">
    <w:name w:val="paragraph"/>
    <w:basedOn w:val="Normal"/>
    <w:rsid w:val="00B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82C73"/>
  </w:style>
  <w:style w:type="character" w:customStyle="1" w:styleId="eop">
    <w:name w:val="eop"/>
    <w:basedOn w:val="DefaultParagraphFont"/>
    <w:rsid w:val="00B82C73"/>
  </w:style>
  <w:style w:type="character" w:styleId="Strong">
    <w:name w:val="Strong"/>
    <w:basedOn w:val="DefaultParagraphFont"/>
    <w:uiPriority w:val="22"/>
    <w:qFormat/>
    <w:rsid w:val="00B82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Postgraduate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Ross Archibald</cp:lastModifiedBy>
  <cp:revision>16</cp:revision>
  <cp:lastPrinted>2018-11-27T21:36:00Z</cp:lastPrinted>
  <dcterms:created xsi:type="dcterms:W3CDTF">2021-11-04T14:47:00Z</dcterms:created>
  <dcterms:modified xsi:type="dcterms:W3CDTF">2021-11-19T12:17:00Z</dcterms:modified>
</cp:coreProperties>
</file>