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36FE4420" w:rsidR="007F3CD9" w:rsidRPr="00E055BC" w:rsidRDefault="00E055BC" w:rsidP="0066316A">
            <w:r w:rsidRPr="00A53B16">
              <w:rPr>
                <w:b/>
                <w:bCs/>
                <w:sz w:val="24"/>
                <w:szCs w:val="24"/>
              </w:rPr>
              <w:t>SILENT</w:t>
            </w:r>
            <w:r w:rsidRPr="00A53B16">
              <w:rPr>
                <w:sz w:val="24"/>
                <w:szCs w:val="24"/>
              </w:rPr>
              <w:t xml:space="preserve">: </w:t>
            </w:r>
            <w:r w:rsidRPr="00A53B16">
              <w:rPr>
                <w:b/>
                <w:bCs/>
                <w:sz w:val="24"/>
                <w:szCs w:val="24"/>
                <w:u w:val="single"/>
              </w:rPr>
              <w:t>S</w:t>
            </w:r>
            <w:r w:rsidRPr="00A53B16">
              <w:rPr>
                <w:sz w:val="24"/>
                <w:szCs w:val="24"/>
              </w:rPr>
              <w:t xml:space="preserve">tealth-Like </w:t>
            </w:r>
            <w:r w:rsidRPr="00A53B16">
              <w:rPr>
                <w:b/>
                <w:bCs/>
                <w:sz w:val="24"/>
                <w:szCs w:val="24"/>
                <w:u w:val="single"/>
              </w:rPr>
              <w:t>I</w:t>
            </w:r>
            <w:r w:rsidRPr="00A53B16">
              <w:rPr>
                <w:sz w:val="24"/>
                <w:szCs w:val="24"/>
              </w:rPr>
              <w:t>nterna</w:t>
            </w:r>
            <w:r w:rsidRPr="00A53B16">
              <w:rPr>
                <w:b/>
                <w:bCs/>
                <w:sz w:val="24"/>
                <w:szCs w:val="24"/>
                <w:u w:val="single"/>
              </w:rPr>
              <w:t>l</w:t>
            </w:r>
            <w:r w:rsidRPr="00A53B16">
              <w:rPr>
                <w:sz w:val="24"/>
                <w:szCs w:val="24"/>
              </w:rPr>
              <w:t xml:space="preserve">isation of Genetic Cargo for </w:t>
            </w:r>
            <w:r w:rsidRPr="00A53B16">
              <w:rPr>
                <w:b/>
                <w:bCs/>
                <w:sz w:val="24"/>
                <w:szCs w:val="24"/>
                <w:u w:val="single"/>
              </w:rPr>
              <w:t>E</w:t>
            </w:r>
            <w:r w:rsidRPr="00A53B16">
              <w:rPr>
                <w:sz w:val="24"/>
                <w:szCs w:val="24"/>
              </w:rPr>
              <w:t xml:space="preserve">x vivo </w:t>
            </w:r>
            <w:r w:rsidRPr="00A53B16">
              <w:rPr>
                <w:b/>
                <w:bCs/>
                <w:sz w:val="24"/>
                <w:szCs w:val="24"/>
                <w:u w:val="single"/>
              </w:rPr>
              <w:t>N</w:t>
            </w:r>
            <w:r w:rsidRPr="00A53B16">
              <w:rPr>
                <w:sz w:val="24"/>
                <w:szCs w:val="24"/>
              </w:rPr>
              <w:t xml:space="preserve">atural Killer Cell </w:t>
            </w:r>
            <w:r w:rsidRPr="00A53B16">
              <w:rPr>
                <w:b/>
                <w:bCs/>
                <w:sz w:val="24"/>
                <w:szCs w:val="24"/>
                <w:u w:val="single"/>
              </w:rPr>
              <w:t>T</w:t>
            </w:r>
            <w:r w:rsidRPr="00A53B16">
              <w:rPr>
                <w:sz w:val="24"/>
                <w:szCs w:val="24"/>
              </w:rPr>
              <w:t>herapies</w:t>
            </w:r>
            <w:r w:rsidRPr="003D220C">
              <w:t xml:space="preserve"> </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48FF48B0" w14:textId="6A0CD969" w:rsidR="007F3CD9" w:rsidRPr="001D5159" w:rsidRDefault="007F3CD9">
            <w:pPr>
              <w:rPr>
                <w:rFonts w:ascii="Calibri" w:hAnsi="Calibri"/>
              </w:rPr>
            </w:pPr>
          </w:p>
          <w:p w14:paraId="4D692A97" w14:textId="33F8A0DA" w:rsidR="007C3A10" w:rsidRPr="001D5159" w:rsidRDefault="007C3A10" w:rsidP="00FB1B0D">
            <w:pPr>
              <w:rPr>
                <w:rFonts w:ascii="Calibri" w:hAnsi="Calibri"/>
              </w:rPr>
            </w:pP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6C30AAAF" w:rsidR="007F3CD9" w:rsidRPr="001D5159" w:rsidRDefault="00E055BC">
            <w:pPr>
              <w:rPr>
                <w:rFonts w:ascii="Calibri" w:hAnsi="Calibri"/>
              </w:rPr>
            </w:pPr>
            <w:r>
              <w:rPr>
                <w:rFonts w:ascii="Calibri" w:hAnsi="Calibri"/>
              </w:rPr>
              <w:t>Department for the Economy (DfE)</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0080D414" w14:textId="77777777" w:rsidR="00E055BC" w:rsidRPr="00A53B16" w:rsidRDefault="00E055BC" w:rsidP="00E055BC">
            <w:pPr>
              <w:ind w:right="-46"/>
              <w:jc w:val="both"/>
            </w:pPr>
            <w:r>
              <w:t>Natural killer (</w:t>
            </w:r>
            <w:r w:rsidRPr="00A53B16">
              <w:rPr>
                <w:sz w:val="24"/>
                <w:szCs w:val="24"/>
              </w:rPr>
              <w:t>NK</w:t>
            </w:r>
            <w:r>
              <w:t>)</w:t>
            </w:r>
            <w:r w:rsidRPr="00A53B16">
              <w:rPr>
                <w:sz w:val="24"/>
                <w:szCs w:val="24"/>
              </w:rPr>
              <w:t xml:space="preserve"> cells are highly cytotoxic immune effectors and adoptive immunotherapy with NK cells has emerged as a promising treatment option for a variety of malignancies including carcinomas, myeloma, sarcomas, </w:t>
            </w:r>
            <w:proofErr w:type="gramStart"/>
            <w:r w:rsidRPr="00A53B16">
              <w:rPr>
                <w:sz w:val="24"/>
                <w:szCs w:val="24"/>
              </w:rPr>
              <w:t>lymphomas</w:t>
            </w:r>
            <w:proofErr w:type="gramEnd"/>
            <w:r w:rsidRPr="00A53B16">
              <w:rPr>
                <w:sz w:val="24"/>
                <w:szCs w:val="24"/>
              </w:rPr>
              <w:t xml:space="preserve"> and leukaemia.</w:t>
            </w:r>
            <w:r>
              <w:t xml:space="preserve"> </w:t>
            </w:r>
            <w:r w:rsidRPr="00A53B16">
              <w:rPr>
                <w:sz w:val="24"/>
                <w:szCs w:val="24"/>
              </w:rPr>
              <w:t>Genetic modification of immune cells with self-amplifying RNA (</w:t>
            </w:r>
            <w:proofErr w:type="spellStart"/>
            <w:r w:rsidRPr="00A53B16">
              <w:rPr>
                <w:sz w:val="24"/>
                <w:szCs w:val="24"/>
              </w:rPr>
              <w:t>saRNA</w:t>
            </w:r>
            <w:proofErr w:type="spellEnd"/>
            <w:r w:rsidRPr="00A53B16">
              <w:rPr>
                <w:sz w:val="24"/>
                <w:szCs w:val="24"/>
              </w:rPr>
              <w:t xml:space="preserve">) is advantageous over non-amplifying mRNA due to lower dose requirements, which reduce the burden of manufacturing. Successful CAR-based immunotherapy requires an efficient transfer of the CAR transgene into the immune cells. Viral vectors are currently the transfection agent of choice for ex vivo cellular engineering. However, problems with safety concerns, expensive production and size limitations with genetic cargo warrants the development of novel non-viral delivery systems. NK cells are highly resistant to transfection by conventional non-viral methods such as electroporation and lipofection, and problems with toxicity and lower transfection rates have been well documented. The amphipathic peptide RALA (30 aa) and linear CHAT (15 aa) have been used to successfully deliver nucleic acids to a range of primary and cancer cell lines in vitro, without toxicity. The </w:t>
            </w:r>
            <w:r>
              <w:t>project</w:t>
            </w:r>
            <w:r w:rsidRPr="00A53B16">
              <w:rPr>
                <w:sz w:val="24"/>
                <w:szCs w:val="24"/>
              </w:rPr>
              <w:t xml:space="preserve"> will investigate</w:t>
            </w:r>
            <w:r>
              <w:t>, for the first time,</w:t>
            </w:r>
            <w:r w:rsidRPr="00A53B16">
              <w:rPr>
                <w:sz w:val="24"/>
                <w:szCs w:val="24"/>
              </w:rPr>
              <w:t xml:space="preserve"> novel peptides for stealth-like delivery of nucleic acids into NK cells for ex vivo cellular</w:t>
            </w:r>
            <w:r>
              <w:t xml:space="preserve"> and adoptive</w:t>
            </w:r>
            <w:r w:rsidRPr="00A53B16">
              <w:rPr>
                <w:sz w:val="24"/>
                <w:szCs w:val="24"/>
              </w:rPr>
              <w:t xml:space="preserve"> therapies.</w:t>
            </w:r>
          </w:p>
          <w:p w14:paraId="69C31F4A" w14:textId="09FD85F6" w:rsidR="00257E72" w:rsidRPr="001D5159" w:rsidRDefault="00257E72" w:rsidP="003125A1">
            <w:pPr>
              <w:jc w:val="both"/>
              <w:rPr>
                <w:rFonts w:ascii="Calibri" w:hAnsi="Calibri"/>
                <w:lang w:val="en-US"/>
              </w:rPr>
            </w:pP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4D62474E" w14:textId="598BABEE" w:rsidR="00695F66" w:rsidRPr="001D5159" w:rsidRDefault="00502C57" w:rsidP="00BC3878">
            <w:pPr>
              <w:rPr>
                <w:rFonts w:ascii="Calibri" w:hAnsi="Calibri"/>
              </w:rPr>
            </w:pPr>
            <w:r w:rsidRPr="001D5159">
              <w:rPr>
                <w:rFonts w:ascii="Calibri" w:hAnsi="Calibri"/>
              </w:rPr>
              <w:t xml:space="preserve"> </w:t>
            </w:r>
            <w:r w:rsidR="00E055BC">
              <w:rPr>
                <w:rFonts w:ascii="Calibri" w:hAnsi="Calibri"/>
              </w:rPr>
              <w:t>Dr Emma McErlean</w:t>
            </w:r>
            <w:r w:rsidR="00C36523">
              <w:rPr>
                <w:rFonts w:ascii="Calibri" w:hAnsi="Calibri"/>
              </w:rPr>
              <w:t xml:space="preserve"> &amp; Prof Helen McCarthy</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6AD4B064" w14:textId="518F6F85" w:rsidR="00CD670B" w:rsidRDefault="00CD670B" w:rsidP="00CD670B">
            <w:r>
              <w:rPr>
                <w:rFonts w:ascii="Calibri" w:hAnsi="Calibri" w:cs="Calibri"/>
                <w:color w:val="000000"/>
              </w:rPr>
              <w:t>UK Resident in the UK for 3 years. ROI students are eligible for fees only.</w:t>
            </w:r>
          </w:p>
          <w:p w14:paraId="3D324EF1" w14:textId="16D28160" w:rsidR="007F3CD9" w:rsidRPr="001D5159" w:rsidRDefault="007F3CD9">
            <w:pPr>
              <w:rPr>
                <w:rFonts w:ascii="Calibri" w:hAnsi="Calibri"/>
              </w:rPr>
            </w:pP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107EA790" w:rsidR="007F3CD9" w:rsidRPr="001D5159" w:rsidRDefault="00E055BC" w:rsidP="00BC3878">
            <w:pPr>
              <w:rPr>
                <w:rFonts w:ascii="Calibri" w:hAnsi="Calibri"/>
              </w:rPr>
            </w:pPr>
            <w:r>
              <w:rPr>
                <w:rFonts w:ascii="Calibri" w:hAnsi="Calibri"/>
              </w:rPr>
              <w:t>Sept 2022, 3 years</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12932EA0" w:rsidR="007F3CD9" w:rsidRPr="001D5159" w:rsidRDefault="00C36523">
            <w:pPr>
              <w:rPr>
                <w:rFonts w:ascii="Calibri" w:hAnsi="Calibri"/>
              </w:rPr>
            </w:pPr>
            <w:r>
              <w:t>Medicine Health and Life Sciences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lastRenderedPageBreak/>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02C78EEF" w:rsidR="001B792D" w:rsidRPr="001D5159" w:rsidRDefault="00E055BC">
            <w:pPr>
              <w:rPr>
                <w:rFonts w:ascii="Calibri" w:hAnsi="Calibri"/>
              </w:rPr>
            </w:pPr>
            <w:r>
              <w:rPr>
                <w:rFonts w:ascii="Calibri" w:hAnsi="Calibri"/>
              </w:rPr>
              <w:t>Nanomedicine</w:t>
            </w:r>
            <w:r w:rsidR="00C36523">
              <w:rPr>
                <w:rFonts w:ascii="Calibri" w:hAnsi="Calibri"/>
              </w:rPr>
              <w:t>, Cancer Immunotherapy, Adoptive Cellular Therapies</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77777777" w:rsidR="007F3CD9" w:rsidRDefault="007C3A10">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 xml:space="preserve">a closely related discipline. Students who have a 2.2 honours degree and a </w:t>
            </w:r>
            <w:proofErr w:type="gramStart"/>
            <w:r w:rsidRPr="001D5159">
              <w:rPr>
                <w:rFonts w:ascii="Calibri" w:hAnsi="Calibri" w:cs="Arial"/>
              </w:rPr>
              <w:t>Master’s</w:t>
            </w:r>
            <w:proofErr w:type="gramEnd"/>
            <w:r w:rsidRPr="001D5159">
              <w:rPr>
                <w:rFonts w:ascii="Calibri" w:hAnsi="Calibri" w:cs="Arial"/>
              </w:rPr>
              <w:t xml:space="preserve">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8B1ADC">
            <w:pPr>
              <w:rPr>
                <w:rFonts w:ascii="Calibri" w:hAnsi="Calibri"/>
              </w:rPr>
            </w:pPr>
          </w:p>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4044AB9B" w:rsidR="007F3CD9" w:rsidRPr="001D5159" w:rsidRDefault="007F3CD9" w:rsidP="00C33F84">
            <w:pPr>
              <w:rPr>
                <w:rFonts w:ascii="Calibri" w:hAnsi="Calibri"/>
              </w:rPr>
            </w:pP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C36523">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C36523">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C36523">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2E3B6572" w14:textId="77777777" w:rsidR="00C36523" w:rsidRDefault="00C36523" w:rsidP="00C36523">
            <w:pPr>
              <w:rPr>
                <w:rStyle w:val="Hyperlink"/>
              </w:rPr>
            </w:pPr>
          </w:p>
          <w:p w14:paraId="37AF843B" w14:textId="77777777" w:rsidR="00C36523" w:rsidRDefault="00C36523" w:rsidP="00C36523">
            <w:pPr>
              <w:rPr>
                <w:rStyle w:val="Hyperlink"/>
              </w:rPr>
            </w:pPr>
            <w:hyperlink r:id="rId9" w:history="1">
              <w:r w:rsidRPr="00E511B7">
                <w:rPr>
                  <w:rStyle w:val="Hyperlink"/>
                </w:rPr>
                <w:t>https://www.qub.ac.uk/schools/SchoolofPharmacy/Research/ResearchThemes/</w:t>
              </w:r>
            </w:hyperlink>
          </w:p>
          <w:p w14:paraId="63709FA7" w14:textId="77777777" w:rsidR="00C36523" w:rsidRDefault="00C36523" w:rsidP="00C36523">
            <w:pPr>
              <w:rPr>
                <w:rStyle w:val="Hyperlink"/>
              </w:rPr>
            </w:pPr>
            <w:proofErr w:type="spellStart"/>
            <w:r w:rsidRPr="00773C9D">
              <w:rPr>
                <w:rStyle w:val="Hyperlink"/>
              </w:rPr>
              <w:t>NanomedicineandBiotherapeutics</w:t>
            </w:r>
            <w:proofErr w:type="spellEnd"/>
            <w:r w:rsidRPr="00773C9D">
              <w:rPr>
                <w:rStyle w:val="Hyperlink"/>
              </w:rPr>
              <w:t>/</w:t>
            </w:r>
          </w:p>
          <w:p w14:paraId="17E102F6" w14:textId="3CC3289D" w:rsidR="00C36523" w:rsidRDefault="00C36523" w:rsidP="00960566">
            <w:pPr>
              <w:rPr>
                <w:rFonts w:ascii="Calibri" w:hAnsi="Calibri"/>
              </w:rPr>
            </w:pPr>
          </w:p>
          <w:p w14:paraId="25F9D4F3" w14:textId="10B3EF32" w:rsidR="00C36523" w:rsidRDefault="00C36523" w:rsidP="00960566">
            <w:pPr>
              <w:rPr>
                <w:rFonts w:ascii="Calibri" w:hAnsi="Calibri"/>
              </w:rPr>
            </w:pPr>
            <w:hyperlink r:id="rId10" w:history="1">
              <w:r w:rsidRPr="007B0F27">
                <w:rPr>
                  <w:rStyle w:val="Hyperlink"/>
                  <w:rFonts w:ascii="Calibri" w:hAnsi="Calibri"/>
                </w:rPr>
                <w:t>https://pure.qub.ac.uk/en/persons/emma-dynes</w:t>
              </w:r>
            </w:hyperlink>
          </w:p>
          <w:p w14:paraId="4A2AA154" w14:textId="61EC1CB1" w:rsidR="00C36523" w:rsidRDefault="00C36523" w:rsidP="00960566">
            <w:pPr>
              <w:rPr>
                <w:rFonts w:ascii="Calibri" w:hAnsi="Calibri"/>
              </w:rPr>
            </w:pPr>
          </w:p>
          <w:p w14:paraId="71E3F908" w14:textId="632457B3" w:rsidR="00C36523" w:rsidRPr="001D5159" w:rsidRDefault="00C36523" w:rsidP="00960566">
            <w:pPr>
              <w:rPr>
                <w:rFonts w:ascii="Calibri" w:hAnsi="Calibri"/>
              </w:rPr>
            </w:pPr>
            <w:hyperlink r:id="rId11" w:history="1">
              <w:r w:rsidRPr="007B0F27">
                <w:rPr>
                  <w:rStyle w:val="Hyperlink"/>
                  <w:rFonts w:ascii="Calibri" w:hAnsi="Calibri"/>
                </w:rPr>
                <w:t>https://www.qub.ac.uk/schools/SchoolofPharmacy/Research/find-a-phd-supervisor/professor-helen-mccarthy.html</w:t>
              </w:r>
            </w:hyperlink>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23F4BB9C" w:rsidR="00EC38E7" w:rsidRPr="00EC38E7" w:rsidRDefault="00EC38E7" w:rsidP="00EC38E7">
            <w:pPr>
              <w:pStyle w:val="NormalWeb"/>
              <w:shd w:val="clear" w:color="auto" w:fill="FFFFFF"/>
              <w:rPr>
                <w:rFonts w:ascii="Calibri" w:eastAsiaTheme="minorHAnsi" w:hAnsi="Calibri" w:cstheme="minorBidi"/>
                <w:sz w:val="22"/>
                <w:szCs w:val="22"/>
                <w:lang w:eastAsia="en-US"/>
              </w:rPr>
            </w:pPr>
            <w:r w:rsidRPr="00EC38E7">
              <w:rPr>
                <w:rFonts w:ascii="Calibri" w:eastAsiaTheme="minorHAnsi" w:hAnsi="Calibri" w:cstheme="minorBidi"/>
                <w:sz w:val="22"/>
                <w:szCs w:val="22"/>
                <w:lang w:eastAsia="en-US"/>
              </w:rPr>
              <w:t>Cell Penetrating Peptides</w:t>
            </w:r>
            <w:r>
              <w:rPr>
                <w:rFonts w:ascii="Calibri" w:eastAsiaTheme="minorHAnsi" w:hAnsi="Calibri" w:cstheme="minorBidi"/>
                <w:sz w:val="22"/>
                <w:szCs w:val="22"/>
                <w:lang w:eastAsia="en-US"/>
              </w:rPr>
              <w:t xml:space="preserve">, </w:t>
            </w:r>
            <w:r w:rsidRPr="00EC38E7">
              <w:rPr>
                <w:rFonts w:ascii="Calibri" w:eastAsiaTheme="minorHAnsi" w:hAnsi="Calibri" w:cstheme="minorBidi"/>
                <w:sz w:val="22"/>
                <w:szCs w:val="22"/>
                <w:lang w:eastAsia="en-US"/>
              </w:rPr>
              <w:t>Gene Delivery</w:t>
            </w:r>
            <w:r>
              <w:rPr>
                <w:rFonts w:ascii="Calibri" w:eastAsiaTheme="minorHAnsi" w:hAnsi="Calibri" w:cstheme="minorBidi"/>
                <w:sz w:val="22"/>
                <w:szCs w:val="22"/>
                <w:lang w:eastAsia="en-US"/>
              </w:rPr>
              <w:t xml:space="preserve">, </w:t>
            </w:r>
            <w:r w:rsidRPr="00EC38E7">
              <w:rPr>
                <w:rFonts w:ascii="Calibri" w:eastAsiaTheme="minorHAnsi" w:hAnsi="Calibri" w:cstheme="minorBidi"/>
                <w:sz w:val="22"/>
                <w:szCs w:val="22"/>
                <w:lang w:eastAsia="en-US"/>
              </w:rPr>
              <w:t>Gene Therapy</w:t>
            </w:r>
            <w:r>
              <w:rPr>
                <w:rFonts w:ascii="Calibri" w:eastAsiaTheme="minorHAnsi" w:hAnsi="Calibri" w:cstheme="minorBidi"/>
                <w:sz w:val="22"/>
                <w:szCs w:val="22"/>
                <w:lang w:eastAsia="en-US"/>
              </w:rPr>
              <w:t xml:space="preserve">, </w:t>
            </w:r>
            <w:r w:rsidRPr="00EC38E7">
              <w:rPr>
                <w:rFonts w:ascii="Calibri" w:eastAsiaTheme="minorHAnsi" w:hAnsi="Calibri" w:cstheme="minorBidi"/>
                <w:sz w:val="22"/>
                <w:szCs w:val="22"/>
                <w:lang w:eastAsia="en-US"/>
              </w:rPr>
              <w:t>Nanomedicine</w:t>
            </w:r>
            <w:r>
              <w:rPr>
                <w:rFonts w:ascii="Calibri" w:eastAsiaTheme="minorHAnsi" w:hAnsi="Calibri" w:cstheme="minorBidi"/>
                <w:sz w:val="22"/>
                <w:szCs w:val="22"/>
                <w:lang w:eastAsia="en-US"/>
              </w:rPr>
              <w:t xml:space="preserve">, </w:t>
            </w:r>
            <w:r w:rsidRPr="00EC38E7">
              <w:rPr>
                <w:rFonts w:ascii="Calibri" w:eastAsiaTheme="minorHAnsi" w:hAnsi="Calibri" w:cstheme="minorBidi"/>
                <w:sz w:val="22"/>
                <w:szCs w:val="22"/>
                <w:lang w:eastAsia="en-US"/>
              </w:rPr>
              <w:t>Targeted Treatments</w:t>
            </w:r>
            <w:r>
              <w:rPr>
                <w:rFonts w:ascii="Calibri" w:eastAsiaTheme="minorHAnsi" w:hAnsi="Calibri" w:cstheme="minorBidi"/>
                <w:sz w:val="22"/>
                <w:szCs w:val="22"/>
                <w:lang w:eastAsia="en-US"/>
              </w:rPr>
              <w:t xml:space="preserve">, </w:t>
            </w:r>
            <w:r w:rsidRPr="00EC38E7">
              <w:rPr>
                <w:rFonts w:ascii="Calibri" w:eastAsiaTheme="minorHAnsi" w:hAnsi="Calibri" w:cstheme="minorBidi"/>
                <w:sz w:val="22"/>
                <w:szCs w:val="22"/>
                <w:lang w:eastAsia="en-US"/>
              </w:rPr>
              <w:t>Ex vivo Adoptive Cell Therapies</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3124ABDB" w14:textId="77777777" w:rsidR="00C36523" w:rsidRPr="00773C9D" w:rsidRDefault="00C36523" w:rsidP="00C36523">
            <w:pPr>
              <w:jc w:val="both"/>
            </w:pPr>
            <w:r w:rsidRPr="00773C9D">
              <w:t>Right from the sta</w:t>
            </w:r>
            <w:r>
              <w:t>rt the PhD student will be involved in</w:t>
            </w:r>
            <w:r w:rsidRPr="00773C9D">
              <w:t xml:space="preserve"> acade</w:t>
            </w:r>
            <w:r>
              <w:t>mic research designed to have translational/clinical application.</w:t>
            </w:r>
            <w:r w:rsidRPr="00773C9D">
              <w:t xml:space="preserve"> This dual approach spans:</w:t>
            </w:r>
          </w:p>
          <w:p w14:paraId="66E1CFCA" w14:textId="77777777" w:rsidR="00C36523" w:rsidRPr="00773C9D" w:rsidRDefault="00C36523" w:rsidP="00C36523">
            <w:pPr>
              <w:jc w:val="both"/>
              <w:rPr>
                <w:lang w:val="en-US"/>
              </w:rPr>
            </w:pPr>
            <w:r w:rsidRPr="00773C9D">
              <w:rPr>
                <w:lang w:val="en-US"/>
              </w:rPr>
              <w:t>1) Research Skills: the academic supervisor</w:t>
            </w:r>
            <w:r>
              <w:rPr>
                <w:lang w:val="en-US"/>
              </w:rPr>
              <w:t xml:space="preserve">s </w:t>
            </w:r>
            <w:r w:rsidRPr="00773C9D">
              <w:rPr>
                <w:lang w:val="en-US"/>
              </w:rPr>
              <w:t xml:space="preserve">will ensure excellent training in </w:t>
            </w:r>
            <w:r>
              <w:rPr>
                <w:lang w:val="en-US"/>
              </w:rPr>
              <w:t xml:space="preserve">nanoparticle formulation, systematic physical </w:t>
            </w:r>
            <w:proofErr w:type="spellStart"/>
            <w:r>
              <w:rPr>
                <w:lang w:val="en-US"/>
              </w:rPr>
              <w:t>characterisation</w:t>
            </w:r>
            <w:proofErr w:type="spellEnd"/>
            <w:r>
              <w:rPr>
                <w:lang w:val="en-US"/>
              </w:rPr>
              <w:t xml:space="preserve">, </w:t>
            </w:r>
            <w:r w:rsidRPr="00B25E6E">
              <w:rPr>
                <w:i/>
                <w:lang w:val="en-US"/>
              </w:rPr>
              <w:t>in vitro</w:t>
            </w:r>
            <w:r>
              <w:rPr>
                <w:lang w:val="en-US"/>
              </w:rPr>
              <w:t xml:space="preserve"> cell and molecular biology techniques and potentially </w:t>
            </w:r>
            <w:r w:rsidRPr="00B25E6E">
              <w:rPr>
                <w:i/>
                <w:lang w:val="en-US"/>
              </w:rPr>
              <w:t xml:space="preserve">in vivo </w:t>
            </w:r>
            <w:r>
              <w:rPr>
                <w:lang w:val="en-US"/>
              </w:rPr>
              <w:t>skills.</w:t>
            </w:r>
          </w:p>
          <w:p w14:paraId="7FED7369" w14:textId="77777777" w:rsidR="00C36523" w:rsidRPr="00773C9D" w:rsidRDefault="00C36523" w:rsidP="00C36523">
            <w:pPr>
              <w:jc w:val="both"/>
              <w:rPr>
                <w:lang w:val="en-US"/>
              </w:rPr>
            </w:pPr>
            <w:r w:rsidRPr="00773C9D">
              <w:t>2) Record keeping &amp; monitoring: M</w:t>
            </w:r>
            <w:r w:rsidRPr="00773C9D">
              <w:rPr>
                <w:bCs/>
              </w:rPr>
              <w:t xml:space="preserve">onthly meetings with the student will take place with electronic records. Students must also complete a 3-month initial review and annual progress review to proceed to years 2 &amp; 3. The annual progress review involves written work, presentation and/or mini </w:t>
            </w:r>
            <w:r w:rsidRPr="00773C9D">
              <w:rPr>
                <w:bCs/>
                <w:i/>
              </w:rPr>
              <w:t>viva</w:t>
            </w:r>
            <w:r w:rsidRPr="00773C9D">
              <w:rPr>
                <w:bCs/>
              </w:rPr>
              <w:t>.</w:t>
            </w:r>
            <w:r w:rsidRPr="00773C9D">
              <w:rPr>
                <w:lang w:val="en-US"/>
              </w:rPr>
              <w:t xml:space="preserve"> However, at each of</w:t>
            </w:r>
            <w:r>
              <w:rPr>
                <w:lang w:val="en-US"/>
              </w:rPr>
              <w:t xml:space="preserve"> these meetings, the primary </w:t>
            </w:r>
            <w:r w:rsidRPr="00773C9D">
              <w:rPr>
                <w:lang w:val="en-US"/>
              </w:rPr>
              <w:t xml:space="preserve">supervisor will also be present ensuring that the </w:t>
            </w:r>
            <w:r>
              <w:rPr>
                <w:lang w:val="en-US"/>
              </w:rPr>
              <w:t>maximal training benefit can be derived from these processes.</w:t>
            </w:r>
          </w:p>
          <w:p w14:paraId="50C40384" w14:textId="463E6E44" w:rsidR="00090D75" w:rsidRPr="001D5159" w:rsidRDefault="00C36523" w:rsidP="00090D75">
            <w:pPr>
              <w:jc w:val="both"/>
              <w:rPr>
                <w:rFonts w:ascii="Calibri" w:hAnsi="Calibri"/>
              </w:rPr>
            </w:pPr>
            <w:r w:rsidRPr="00773C9D">
              <w:rPr>
                <w:lang w:val="en-US"/>
              </w:rPr>
              <w:t>3) Additionally, there will be opportunities to p</w:t>
            </w:r>
            <w:r>
              <w:rPr>
                <w:lang w:val="en-US"/>
              </w:rPr>
              <w:t xml:space="preserve">resent at </w:t>
            </w:r>
            <w:r w:rsidRPr="00773C9D">
              <w:rPr>
                <w:lang w:val="en-US"/>
              </w:rPr>
              <w:t xml:space="preserve">academic </w:t>
            </w:r>
            <w:r>
              <w:rPr>
                <w:lang w:val="en-US"/>
              </w:rPr>
              <w:t>meetings</w:t>
            </w:r>
            <w:r w:rsidRPr="00773C9D">
              <w:rPr>
                <w:lang w:val="en-US"/>
              </w:rPr>
              <w:t xml:space="preserve">, </w:t>
            </w:r>
            <w:r>
              <w:rPr>
                <w:lang w:val="en-US"/>
              </w:rPr>
              <w:t xml:space="preserve">building professional networks, </w:t>
            </w:r>
            <w:r w:rsidRPr="00773C9D">
              <w:rPr>
                <w:lang w:val="en-US"/>
              </w:rPr>
              <w:t xml:space="preserve">personal development on </w:t>
            </w:r>
            <w:r>
              <w:rPr>
                <w:lang w:val="en-US"/>
              </w:rPr>
              <w:t>courses for animal licenses, advanced statistics, skills which are all relevant to subsequent employment opportunities.</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lastRenderedPageBreak/>
              <w:t>Expected impact activities</w:t>
            </w:r>
          </w:p>
        </w:tc>
        <w:tc>
          <w:tcPr>
            <w:tcW w:w="7730" w:type="dxa"/>
          </w:tcPr>
          <w:p w14:paraId="53AD2D2A" w14:textId="3C730788" w:rsidR="001B792D" w:rsidRPr="001D5159" w:rsidRDefault="00C36523" w:rsidP="0066260E">
            <w:pPr>
              <w:jc w:val="both"/>
              <w:rPr>
                <w:rFonts w:ascii="Calibri" w:hAnsi="Calibri"/>
              </w:rPr>
            </w:pPr>
            <w:r>
              <w:t xml:space="preserve">Impact activities include but are not restricted to presenting the research to academic and industry peers through scientific conferences and students from different disciplines through the Graduate School. The student will also engage with patients, </w:t>
            </w:r>
            <w:proofErr w:type="gramStart"/>
            <w:r>
              <w:t>clinicians</w:t>
            </w:r>
            <w:proofErr w:type="gramEnd"/>
            <w:r>
              <w:t xml:space="preserve"> and key stake holders through a series of webinars/focus groups to understand how they can feed and shape the research plan. Other impact activities relate to commercialisation though IP protection processes, competitor analysis and engagement with clinical collaborators.</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4CD3"/>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E19CD"/>
    <w:rsid w:val="005F2741"/>
    <w:rsid w:val="005F301D"/>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36523"/>
    <w:rsid w:val="00C428CF"/>
    <w:rsid w:val="00C50D2D"/>
    <w:rsid w:val="00C519E9"/>
    <w:rsid w:val="00C57CF9"/>
    <w:rsid w:val="00C6334C"/>
    <w:rsid w:val="00C66B4F"/>
    <w:rsid w:val="00C7500B"/>
    <w:rsid w:val="00C861B6"/>
    <w:rsid w:val="00C876DB"/>
    <w:rsid w:val="00C912B9"/>
    <w:rsid w:val="00C938C4"/>
    <w:rsid w:val="00CA2E64"/>
    <w:rsid w:val="00CA3E08"/>
    <w:rsid w:val="00CA70D8"/>
    <w:rsid w:val="00CB3D31"/>
    <w:rsid w:val="00CC767D"/>
    <w:rsid w:val="00CD4D50"/>
    <w:rsid w:val="00CD670B"/>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055BC"/>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38E7"/>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styleId="NormalWeb">
    <w:name w:val="Normal (Web)"/>
    <w:basedOn w:val="Normal"/>
    <w:uiPriority w:val="99"/>
    <w:unhideWhenUsed/>
    <w:rsid w:val="00EC38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36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2032">
      <w:bodyDiv w:val="1"/>
      <w:marLeft w:val="0"/>
      <w:marRight w:val="0"/>
      <w:marTop w:val="0"/>
      <w:marBottom w:val="0"/>
      <w:divBdr>
        <w:top w:val="none" w:sz="0" w:space="0" w:color="auto"/>
        <w:left w:val="none" w:sz="0" w:space="0" w:color="auto"/>
        <w:bottom w:val="none" w:sz="0" w:space="0" w:color="auto"/>
        <w:right w:val="none" w:sz="0" w:space="0" w:color="auto"/>
      </w:divBdr>
    </w:div>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040978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11" Type="http://schemas.openxmlformats.org/officeDocument/2006/relationships/hyperlink" Target="https://www.qub.ac.uk/schools/SchoolofPharmacy/Research/find-a-phd-supervisor/professor-helen-mccarthy.html" TargetMode="External"/><Relationship Id="rId5" Type="http://schemas.openxmlformats.org/officeDocument/2006/relationships/image" Target="media/image1.jpg"/><Relationship Id="rId10" Type="http://schemas.openxmlformats.org/officeDocument/2006/relationships/hyperlink" Target="https://pure.qub.ac.uk/en/persons/emma-dynes" TargetMode="External"/><Relationship Id="rId4" Type="http://schemas.openxmlformats.org/officeDocument/2006/relationships/webSettings" Target="webSettings.xml"/><Relationship Id="rId9" Type="http://schemas.openxmlformats.org/officeDocument/2006/relationships/hyperlink" Target="https://www.qub.ac.uk/schools/SchoolofPharmacy/Research/ResearchT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Emma McErlean</cp:lastModifiedBy>
  <cp:revision>5</cp:revision>
  <cp:lastPrinted>2018-11-27T21:36:00Z</cp:lastPrinted>
  <dcterms:created xsi:type="dcterms:W3CDTF">2021-10-28T15:28:00Z</dcterms:created>
  <dcterms:modified xsi:type="dcterms:W3CDTF">2021-11-02T12:05:00Z</dcterms:modified>
</cp:coreProperties>
</file>