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08E5" w14:textId="0C6DC490" w:rsidR="001976E1" w:rsidRDefault="00495498" w:rsidP="00495498">
      <w:bookmarkStart w:id="0" w:name="_GoBack"/>
      <w:bookmarkEnd w:id="0"/>
      <w:r>
        <w:rPr>
          <w:noProof/>
          <w:lang w:eastAsia="zh-TW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41347A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89" w:type="dxa"/>
          </w:tcPr>
          <w:p w14:paraId="087F3833" w14:textId="25FB52AE" w:rsidR="007F3CD9" w:rsidRPr="004F645E" w:rsidRDefault="00FD426F" w:rsidP="0066316A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Utilising data linkage to estimate antimicrobial resistance burden in paediatric population</w:t>
            </w:r>
            <w:r w:rsidR="00A34361">
              <w:rPr>
                <w:rFonts w:ascii="Arial" w:hAnsi="Arial" w:cs="Arial"/>
              </w:rPr>
              <w:t>s</w:t>
            </w:r>
            <w:r w:rsidRPr="004F645E">
              <w:rPr>
                <w:rFonts w:ascii="Arial" w:hAnsi="Arial" w:cs="Arial"/>
              </w:rPr>
              <w:t xml:space="preserve">  </w:t>
            </w:r>
          </w:p>
        </w:tc>
      </w:tr>
      <w:tr w:rsidR="007F3CD9" w:rsidRPr="001D5159" w14:paraId="5693CC34" w14:textId="77777777" w:rsidTr="0041347A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89" w:type="dxa"/>
          </w:tcPr>
          <w:p w14:paraId="48FF48B0" w14:textId="6A0CD969" w:rsidR="007F3CD9" w:rsidRPr="004F645E" w:rsidRDefault="007F3CD9">
            <w:pPr>
              <w:rPr>
                <w:rFonts w:ascii="Arial" w:hAnsi="Arial" w:cs="Arial"/>
              </w:rPr>
            </w:pPr>
          </w:p>
          <w:p w14:paraId="4D692A97" w14:textId="33F8A0DA" w:rsidR="007C3A10" w:rsidRPr="004F645E" w:rsidRDefault="007C3A10" w:rsidP="00FB1B0D">
            <w:pPr>
              <w:rPr>
                <w:rFonts w:ascii="Arial" w:hAnsi="Arial" w:cs="Arial"/>
              </w:rPr>
            </w:pPr>
          </w:p>
        </w:tc>
      </w:tr>
      <w:tr w:rsidR="007F3CD9" w:rsidRPr="001D5159" w14:paraId="7BE5D50C" w14:textId="77777777" w:rsidTr="0041347A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89" w:type="dxa"/>
          </w:tcPr>
          <w:p w14:paraId="4FE0BE00" w14:textId="2015DB37" w:rsidR="007F3CD9" w:rsidRPr="004F645E" w:rsidRDefault="001A72CB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The Department for the Economy (</w:t>
            </w:r>
            <w:proofErr w:type="spellStart"/>
            <w:r w:rsidRPr="004F645E">
              <w:rPr>
                <w:rFonts w:ascii="Arial" w:hAnsi="Arial" w:cs="Arial"/>
              </w:rPr>
              <w:t>DfE</w:t>
            </w:r>
            <w:proofErr w:type="spellEnd"/>
            <w:r w:rsidRPr="004F645E">
              <w:rPr>
                <w:rFonts w:ascii="Arial" w:hAnsi="Arial" w:cs="Arial"/>
              </w:rPr>
              <w:t>)</w:t>
            </w:r>
          </w:p>
        </w:tc>
      </w:tr>
      <w:tr w:rsidR="007F3CD9" w:rsidRPr="001D5159" w14:paraId="0FD83558" w14:textId="77777777" w:rsidTr="0041347A">
        <w:trPr>
          <w:trHeight w:val="557"/>
        </w:trPr>
        <w:tc>
          <w:tcPr>
            <w:tcW w:w="152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89" w:type="dxa"/>
          </w:tcPr>
          <w:p w14:paraId="00607795" w14:textId="77777777" w:rsidR="007F3CD9" w:rsidRPr="004F645E" w:rsidRDefault="007C3A10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1</w:t>
            </w:r>
          </w:p>
        </w:tc>
      </w:tr>
      <w:tr w:rsidR="007F3CD9" w:rsidRPr="001D5159" w14:paraId="7D945C08" w14:textId="77777777" w:rsidTr="0041347A">
        <w:trPr>
          <w:trHeight w:val="1412"/>
        </w:trPr>
        <w:tc>
          <w:tcPr>
            <w:tcW w:w="152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89" w:type="dxa"/>
          </w:tcPr>
          <w:p w14:paraId="69C31F4A" w14:textId="45A03E72" w:rsidR="00257E72" w:rsidRPr="004F645E" w:rsidRDefault="003E4A52" w:rsidP="00792EC6">
            <w:pPr>
              <w:jc w:val="both"/>
              <w:rPr>
                <w:rFonts w:ascii="Arial" w:hAnsi="Arial" w:cs="Arial"/>
                <w:lang w:val="en-US"/>
              </w:rPr>
            </w:pPr>
            <w:r w:rsidRPr="004F645E">
              <w:rPr>
                <w:rFonts w:ascii="Arial" w:hAnsi="Arial" w:cs="Arial"/>
                <w:lang w:val="en-US"/>
              </w:rPr>
              <w:t xml:space="preserve">The project will utilize data linkage techniques to link data from secondary care and primary care to evaluate antibiotic consumption and estimate </w:t>
            </w:r>
            <w:r w:rsidR="00792EC6" w:rsidRPr="004F645E">
              <w:rPr>
                <w:rFonts w:ascii="Arial" w:hAnsi="Arial" w:cs="Arial"/>
                <w:lang w:val="en-US"/>
              </w:rPr>
              <w:t xml:space="preserve">antimicrobial resistance (AMR) </w:t>
            </w:r>
            <w:r w:rsidRPr="004F645E">
              <w:rPr>
                <w:rFonts w:ascii="Arial" w:hAnsi="Arial" w:cs="Arial"/>
                <w:lang w:val="en-US"/>
              </w:rPr>
              <w:t xml:space="preserve">burden in </w:t>
            </w:r>
            <w:proofErr w:type="spellStart"/>
            <w:r w:rsidRPr="004F645E">
              <w:rPr>
                <w:rFonts w:ascii="Arial" w:hAnsi="Arial" w:cs="Arial"/>
                <w:lang w:val="en-US"/>
              </w:rPr>
              <w:t>paediatric</w:t>
            </w:r>
            <w:proofErr w:type="spellEnd"/>
            <w:r w:rsidRPr="004F645E">
              <w:rPr>
                <w:rFonts w:ascii="Arial" w:hAnsi="Arial" w:cs="Arial"/>
                <w:lang w:val="en-US"/>
              </w:rPr>
              <w:t xml:space="preserve"> population</w:t>
            </w:r>
            <w:r w:rsidR="00A34361">
              <w:rPr>
                <w:rFonts w:ascii="Arial" w:hAnsi="Arial" w:cs="Arial"/>
                <w:lang w:val="en-US"/>
              </w:rPr>
              <w:t>s</w:t>
            </w:r>
            <w:r w:rsidRPr="004F645E">
              <w:rPr>
                <w:rFonts w:ascii="Arial" w:hAnsi="Arial" w:cs="Arial"/>
                <w:lang w:val="en-US"/>
              </w:rPr>
              <w:t xml:space="preserve">. </w:t>
            </w:r>
            <w:r w:rsidR="00792EC6" w:rsidRPr="004F645E">
              <w:rPr>
                <w:rFonts w:ascii="Arial" w:hAnsi="Arial" w:cs="Arial"/>
                <w:lang w:val="en-US"/>
              </w:rPr>
              <w:t xml:space="preserve">Geospatial statistical modelling will be applied to </w:t>
            </w:r>
            <w:proofErr w:type="gramStart"/>
            <w:r w:rsidR="00792EC6" w:rsidRPr="004F645E">
              <w:rPr>
                <w:rFonts w:ascii="Arial" w:hAnsi="Arial" w:cs="Arial"/>
                <w:lang w:val="en-US"/>
              </w:rPr>
              <w:t>investigate  AMR</w:t>
            </w:r>
            <w:proofErr w:type="gramEnd"/>
            <w:r w:rsidR="00792EC6" w:rsidRPr="004F645E">
              <w:rPr>
                <w:rFonts w:ascii="Arial" w:hAnsi="Arial" w:cs="Arial"/>
                <w:lang w:val="en-US"/>
              </w:rPr>
              <w:t xml:space="preserve"> by geographical regions. </w:t>
            </w:r>
          </w:p>
        </w:tc>
      </w:tr>
      <w:tr w:rsidR="00695F66" w:rsidRPr="001D5159" w14:paraId="4E56534D" w14:textId="77777777" w:rsidTr="0041347A">
        <w:trPr>
          <w:trHeight w:val="625"/>
        </w:trPr>
        <w:tc>
          <w:tcPr>
            <w:tcW w:w="152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89" w:type="dxa"/>
          </w:tcPr>
          <w:p w14:paraId="4D62474E" w14:textId="782F0CD1" w:rsidR="00695F66" w:rsidRPr="004F645E" w:rsidRDefault="00502C57" w:rsidP="00BC3878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 xml:space="preserve"> </w:t>
            </w:r>
            <w:r w:rsidR="001A72CB" w:rsidRPr="004F645E">
              <w:rPr>
                <w:rFonts w:ascii="Arial" w:hAnsi="Arial" w:cs="Arial"/>
              </w:rPr>
              <w:t xml:space="preserve">Dr Yingfen Hsia, </w:t>
            </w:r>
            <w:r w:rsidR="001A72CB" w:rsidRPr="004F645E">
              <w:rPr>
                <w:rFonts w:ascii="Arial" w:eastAsia="Calibri" w:hAnsi="Arial" w:cs="Arial"/>
              </w:rPr>
              <w:t>Professor Carmel Hughes</w:t>
            </w:r>
          </w:p>
        </w:tc>
      </w:tr>
      <w:tr w:rsidR="007F3CD9" w:rsidRPr="001D5159" w14:paraId="4E0B3869" w14:textId="77777777" w:rsidTr="0041347A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89" w:type="dxa"/>
          </w:tcPr>
          <w:p w14:paraId="2D098C03" w14:textId="77777777" w:rsidR="001A72CB" w:rsidRPr="004F645E" w:rsidRDefault="001A72CB" w:rsidP="001A72CB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UK student</w:t>
            </w:r>
          </w:p>
          <w:p w14:paraId="3D324EF1" w14:textId="16D28160" w:rsidR="007F3CD9" w:rsidRPr="004F645E" w:rsidRDefault="007F3CD9">
            <w:pPr>
              <w:rPr>
                <w:rFonts w:ascii="Arial" w:hAnsi="Arial" w:cs="Arial"/>
              </w:rPr>
            </w:pPr>
          </w:p>
        </w:tc>
      </w:tr>
      <w:tr w:rsidR="007F3CD9" w:rsidRPr="001D5159" w14:paraId="0ED025C8" w14:textId="77777777" w:rsidTr="0041347A">
        <w:trPr>
          <w:trHeight w:val="656"/>
        </w:trPr>
        <w:tc>
          <w:tcPr>
            <w:tcW w:w="152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Country</w:t>
            </w:r>
          </w:p>
        </w:tc>
        <w:tc>
          <w:tcPr>
            <w:tcW w:w="7789" w:type="dxa"/>
          </w:tcPr>
          <w:p w14:paraId="096F5302" w14:textId="77777777" w:rsidR="007F3CD9" w:rsidRPr="004F645E" w:rsidRDefault="007C3A10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Northern Ireland</w:t>
            </w:r>
          </w:p>
        </w:tc>
      </w:tr>
      <w:tr w:rsidR="007F3CD9" w:rsidRPr="001D5159" w14:paraId="5A9A4024" w14:textId="77777777" w:rsidTr="0041347A">
        <w:trPr>
          <w:trHeight w:val="630"/>
        </w:trPr>
        <w:tc>
          <w:tcPr>
            <w:tcW w:w="152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89" w:type="dxa"/>
          </w:tcPr>
          <w:p w14:paraId="4010ABC3" w14:textId="3DAEF443" w:rsidR="007F3CD9" w:rsidRPr="004F645E" w:rsidRDefault="0041347A" w:rsidP="00BC3878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1 October 2022</w:t>
            </w:r>
          </w:p>
        </w:tc>
      </w:tr>
      <w:tr w:rsidR="007F3CD9" w:rsidRPr="001D5159" w14:paraId="28F29B22" w14:textId="77777777" w:rsidTr="0041347A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89" w:type="dxa"/>
          </w:tcPr>
          <w:p w14:paraId="697AD963" w14:textId="77777777" w:rsidR="007F3CD9" w:rsidRPr="004F645E" w:rsidRDefault="007C3A10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MHLS</w:t>
            </w:r>
          </w:p>
        </w:tc>
      </w:tr>
      <w:tr w:rsidR="007F3CD9" w:rsidRPr="001D5159" w14:paraId="0F4A2020" w14:textId="77777777" w:rsidTr="0041347A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89" w:type="dxa"/>
          </w:tcPr>
          <w:p w14:paraId="01F42C0A" w14:textId="77777777" w:rsidR="007F3CD9" w:rsidRPr="004F645E" w:rsidRDefault="007C3A10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>Pharmacy</w:t>
            </w:r>
          </w:p>
        </w:tc>
      </w:tr>
      <w:tr w:rsidR="001B792D" w:rsidRPr="001D5159" w14:paraId="2B55D6E4" w14:textId="77777777" w:rsidTr="0041347A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89" w:type="dxa"/>
          </w:tcPr>
          <w:p w14:paraId="26BC92BB" w14:textId="4FD0357F" w:rsidR="001B792D" w:rsidRPr="004F645E" w:rsidRDefault="0041347A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 xml:space="preserve">Paediatric </w:t>
            </w:r>
            <w:proofErr w:type="spellStart"/>
            <w:r w:rsidRPr="004F645E">
              <w:rPr>
                <w:rFonts w:ascii="Arial" w:hAnsi="Arial" w:cs="Arial"/>
              </w:rPr>
              <w:t>pharmaco</w:t>
            </w:r>
            <w:proofErr w:type="spellEnd"/>
            <w:r w:rsidRPr="004F645E">
              <w:rPr>
                <w:rFonts w:ascii="Arial" w:hAnsi="Arial" w:cs="Arial"/>
              </w:rPr>
              <w:t xml:space="preserve">-epidemiology </w:t>
            </w:r>
          </w:p>
        </w:tc>
      </w:tr>
      <w:tr w:rsidR="007F3CD9" w:rsidRPr="001D5159" w14:paraId="37F2D25C" w14:textId="77777777" w:rsidTr="0041347A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89" w:type="dxa"/>
          </w:tcPr>
          <w:p w14:paraId="0B0D5859" w14:textId="77777777" w:rsidR="007F3CD9" w:rsidRPr="004F645E" w:rsidRDefault="007C3A10">
            <w:pPr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 xml:space="preserve">Applicants should have a 1st or 2.1 honours degree (or equivalent) in a relevant subject. Relevant subjects include </w:t>
            </w:r>
            <w:r w:rsidR="00090D75" w:rsidRPr="004F645E">
              <w:rPr>
                <w:rFonts w:ascii="Arial" w:hAnsi="Arial" w:cs="Arial"/>
              </w:rPr>
              <w:t>Pharmacy, Pharmaceutical</w:t>
            </w:r>
            <w:r w:rsidRPr="004F645E">
              <w:rPr>
                <w:rFonts w:ascii="Arial" w:hAnsi="Arial" w:cs="Arial"/>
              </w:rPr>
              <w:t xml:space="preserve"> Sciences, Biochemistry, Biological/Biomedical Sciences,</w:t>
            </w:r>
            <w:r w:rsidR="002F06D8" w:rsidRPr="004F645E">
              <w:rPr>
                <w:rFonts w:ascii="Arial" w:hAnsi="Arial" w:cs="Arial"/>
              </w:rPr>
              <w:t xml:space="preserve"> </w:t>
            </w:r>
            <w:r w:rsidRPr="004F645E">
              <w:rPr>
                <w:rFonts w:ascii="Arial" w:hAnsi="Arial" w:cs="Arial"/>
              </w:rPr>
              <w:t>Chemistry, Engineering</w:t>
            </w:r>
            <w:r w:rsidR="00E41AE4" w:rsidRPr="004F645E">
              <w:rPr>
                <w:rFonts w:ascii="Arial" w:hAnsi="Arial" w:cs="Arial"/>
              </w:rPr>
              <w:t xml:space="preserve">, or </w:t>
            </w:r>
            <w:r w:rsidRPr="004F645E">
              <w:rPr>
                <w:rFonts w:ascii="Arial" w:hAnsi="Arial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 w:rsidRPr="004F645E">
              <w:rPr>
                <w:rFonts w:ascii="Arial" w:hAnsi="Arial" w:cs="Arial"/>
              </w:rPr>
              <w:t>.</w:t>
            </w:r>
          </w:p>
          <w:p w14:paraId="04908960" w14:textId="747FBEA3" w:rsidR="00C315D7" w:rsidRPr="004F645E" w:rsidRDefault="00C315D7" w:rsidP="008B1ADC">
            <w:pPr>
              <w:rPr>
                <w:rFonts w:ascii="Arial" w:hAnsi="Arial" w:cs="Arial"/>
              </w:rPr>
            </w:pPr>
          </w:p>
        </w:tc>
      </w:tr>
      <w:tr w:rsidR="007F3CD9" w:rsidRPr="001D5159" w14:paraId="20B23C1A" w14:textId="77777777" w:rsidTr="0041347A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89" w:type="dxa"/>
          </w:tcPr>
          <w:p w14:paraId="489895A8" w14:textId="01A116B1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41347A">
        <w:trPr>
          <w:trHeight w:val="444"/>
        </w:trPr>
        <w:tc>
          <w:tcPr>
            <w:tcW w:w="152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89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061FE0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41347A">
        <w:trPr>
          <w:trHeight w:val="1799"/>
        </w:trPr>
        <w:tc>
          <w:tcPr>
            <w:tcW w:w="152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89" w:type="dxa"/>
          </w:tcPr>
          <w:p w14:paraId="3194874E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2A178B23" w14:textId="77777777" w:rsidR="007F3CD9" w:rsidRPr="001D5159" w:rsidRDefault="00061FE0">
            <w:pPr>
              <w:rPr>
                <w:rFonts w:ascii="Calibri" w:hAnsi="Calibri"/>
              </w:rPr>
            </w:pPr>
            <w:hyperlink r:id="rId7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061FE0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77777777" w:rsidR="00960566" w:rsidRPr="001D5159" w:rsidRDefault="00960566" w:rsidP="00960566">
            <w:pPr>
              <w:rPr>
                <w:rFonts w:ascii="Calibri" w:hAnsi="Calibri"/>
              </w:rPr>
            </w:pPr>
          </w:p>
          <w:p w14:paraId="6B53524E" w14:textId="3A9F269F" w:rsidR="007C3A10" w:rsidRPr="001D5159" w:rsidRDefault="007C3A10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41347A">
        <w:trPr>
          <w:trHeight w:val="576"/>
        </w:trPr>
        <w:tc>
          <w:tcPr>
            <w:tcW w:w="152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89" w:type="dxa"/>
          </w:tcPr>
          <w:p w14:paraId="60DC74E3" w14:textId="6602143B" w:rsidR="001B792D" w:rsidRPr="001D5159" w:rsidRDefault="00505F91" w:rsidP="004F645E">
            <w:pPr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Pharmacoepidemiology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r w:rsidR="004F645E">
              <w:rPr>
                <w:rFonts w:ascii="Calibri" w:hAnsi="Calibri"/>
              </w:rPr>
              <w:t xml:space="preserve">data linkage, antimicrobial resistance, </w:t>
            </w:r>
            <w:r>
              <w:rPr>
                <w:rFonts w:ascii="Calibri" w:hAnsi="Calibri"/>
              </w:rPr>
              <w:t xml:space="preserve">children </w:t>
            </w:r>
          </w:p>
        </w:tc>
      </w:tr>
      <w:tr w:rsidR="0041347A" w:rsidRPr="001D5159" w14:paraId="0AC7B4C0" w14:textId="77777777" w:rsidTr="0041347A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4D54FEE9" w14:textId="77777777" w:rsidR="0041347A" w:rsidRPr="001D5159" w:rsidRDefault="0041347A" w:rsidP="0041347A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89" w:type="dxa"/>
          </w:tcPr>
          <w:p w14:paraId="50C40384" w14:textId="0CC4CA28" w:rsidR="0041347A" w:rsidRPr="004F645E" w:rsidRDefault="0041347A" w:rsidP="0041347A">
            <w:pPr>
              <w:jc w:val="both"/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 xml:space="preserve">The student will receive training on quantitative methods, </w:t>
            </w:r>
            <w:proofErr w:type="spellStart"/>
            <w:r w:rsidRPr="004F645E">
              <w:rPr>
                <w:rFonts w:ascii="Arial" w:hAnsi="Arial" w:cs="Arial"/>
              </w:rPr>
              <w:t>pharmaco</w:t>
            </w:r>
            <w:proofErr w:type="spellEnd"/>
            <w:r w:rsidRPr="004F645E">
              <w:rPr>
                <w:rFonts w:ascii="Arial" w:hAnsi="Arial" w:cs="Arial"/>
              </w:rPr>
              <w:t xml:space="preserve">-epidemiological methods, </w:t>
            </w:r>
            <w:proofErr w:type="gramStart"/>
            <w:r w:rsidRPr="004F645E">
              <w:rPr>
                <w:rFonts w:ascii="Arial" w:hAnsi="Arial" w:cs="Arial"/>
              </w:rPr>
              <w:t>generic</w:t>
            </w:r>
            <w:proofErr w:type="gramEnd"/>
            <w:r w:rsidRPr="004F645E">
              <w:rPr>
                <w:rFonts w:ascii="Arial" w:hAnsi="Arial" w:cs="Arial"/>
              </w:rPr>
              <w:t xml:space="preserve"> skills in writing and presentations skills, critical thinking, and project management. Training will also be provided on computer programming using statistical software (STATA, R, </w:t>
            </w:r>
            <w:proofErr w:type="spellStart"/>
            <w:proofErr w:type="gramStart"/>
            <w:r w:rsidRPr="004F645E">
              <w:rPr>
                <w:rFonts w:ascii="Arial" w:hAnsi="Arial" w:cs="Arial"/>
              </w:rPr>
              <w:t>Rstudio</w:t>
            </w:r>
            <w:proofErr w:type="spellEnd"/>
            <w:proofErr w:type="gramEnd"/>
            <w:r w:rsidRPr="004F645E">
              <w:rPr>
                <w:rFonts w:ascii="Arial" w:hAnsi="Arial" w:cs="Arial"/>
              </w:rPr>
              <w:t xml:space="preserve">). The student will work with a large interdisciplinary team which is highly experienced in such studies. </w:t>
            </w:r>
          </w:p>
        </w:tc>
      </w:tr>
      <w:tr w:rsidR="0041347A" w:rsidRPr="001D5159" w14:paraId="35AA849E" w14:textId="77777777" w:rsidTr="0041347A">
        <w:trPr>
          <w:trHeight w:val="470"/>
        </w:trPr>
        <w:tc>
          <w:tcPr>
            <w:tcW w:w="1522" w:type="dxa"/>
            <w:shd w:val="clear" w:color="auto" w:fill="DEEAF6" w:themeFill="accent1" w:themeFillTint="33"/>
          </w:tcPr>
          <w:p w14:paraId="2A6DDC67" w14:textId="77777777" w:rsidR="0041347A" w:rsidRPr="001D5159" w:rsidRDefault="0041347A" w:rsidP="0041347A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89" w:type="dxa"/>
          </w:tcPr>
          <w:p w14:paraId="53AD2D2A" w14:textId="2F8870D5" w:rsidR="0041347A" w:rsidRPr="004F645E" w:rsidRDefault="00A43620" w:rsidP="0041347A">
            <w:pPr>
              <w:jc w:val="both"/>
              <w:rPr>
                <w:rFonts w:ascii="Arial" w:hAnsi="Arial" w:cs="Arial"/>
              </w:rPr>
            </w:pPr>
            <w:r w:rsidRPr="004F645E">
              <w:rPr>
                <w:rFonts w:ascii="Arial" w:hAnsi="Arial" w:cs="Arial"/>
              </w:rPr>
              <w:t xml:space="preserve">The findings for this project will develop data linkage </w:t>
            </w:r>
            <w:r w:rsidR="002A6CE8">
              <w:rPr>
                <w:rFonts w:ascii="Arial" w:hAnsi="Arial" w:cs="Arial"/>
              </w:rPr>
              <w:t>approaches</w:t>
            </w:r>
            <w:r w:rsidRPr="004F645E">
              <w:rPr>
                <w:rFonts w:ascii="Arial" w:hAnsi="Arial" w:cs="Arial"/>
              </w:rPr>
              <w:t xml:space="preserve"> across different healthcare settings. The training provided to the study will also provide an excellent grounding for a career in medical research or information technology. </w:t>
            </w: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1FE0"/>
    <w:rsid w:val="0006730B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6238"/>
    <w:rsid w:val="000D526E"/>
    <w:rsid w:val="000D79D5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76E1"/>
    <w:rsid w:val="001A72CB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86C12"/>
    <w:rsid w:val="002A0180"/>
    <w:rsid w:val="002A22B2"/>
    <w:rsid w:val="002A6CE8"/>
    <w:rsid w:val="002A6F4F"/>
    <w:rsid w:val="002B644E"/>
    <w:rsid w:val="002B6455"/>
    <w:rsid w:val="002C1BB6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A52"/>
    <w:rsid w:val="003E4D9E"/>
    <w:rsid w:val="003F5DA8"/>
    <w:rsid w:val="003F716D"/>
    <w:rsid w:val="00403319"/>
    <w:rsid w:val="0040602C"/>
    <w:rsid w:val="00407ED6"/>
    <w:rsid w:val="0041347A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4F645E"/>
    <w:rsid w:val="00502C57"/>
    <w:rsid w:val="00505F91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74085"/>
    <w:rsid w:val="006815A5"/>
    <w:rsid w:val="00695F66"/>
    <w:rsid w:val="006977CC"/>
    <w:rsid w:val="006B2D8B"/>
    <w:rsid w:val="006B5E92"/>
    <w:rsid w:val="006C2131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2EC6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E1800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361"/>
    <w:rsid w:val="00A3441A"/>
    <w:rsid w:val="00A354B3"/>
    <w:rsid w:val="00A404C0"/>
    <w:rsid w:val="00A4362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82E21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37C6"/>
    <w:rsid w:val="00FD426F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paragraph" w:styleId="Revision">
    <w:name w:val="Revision"/>
    <w:hidden/>
    <w:uiPriority w:val="99"/>
    <w:semiHidden/>
    <w:rsid w:val="00A3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Yingfen </cp:lastModifiedBy>
  <cp:revision>2</cp:revision>
  <cp:lastPrinted>2018-11-27T21:36:00Z</cp:lastPrinted>
  <dcterms:created xsi:type="dcterms:W3CDTF">2021-11-25T20:13:00Z</dcterms:created>
  <dcterms:modified xsi:type="dcterms:W3CDTF">2021-11-25T20:13:00Z</dcterms:modified>
</cp:coreProperties>
</file>