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DAC" w14:textId="5742992C" w:rsidR="002E0374" w:rsidRDefault="007F3CD9" w:rsidP="007F3CD9">
      <w:pPr>
        <w:pStyle w:val="Heading1"/>
      </w:pPr>
      <w:r>
        <w:t>PGR Studentship Information Template</w:t>
      </w:r>
      <w:r w:rsidR="00B44FF9">
        <w:t xml:space="preserve"> 20</w:t>
      </w:r>
      <w:r w:rsidR="00B4262C">
        <w:t>2</w:t>
      </w:r>
      <w:r w:rsidR="00317C62">
        <w:t>1</w:t>
      </w:r>
      <w:r w:rsidR="00695F66">
        <w:t xml:space="preserve"> entry</w:t>
      </w:r>
    </w:p>
    <w:p w14:paraId="4B5BAD7D" w14:textId="77777777" w:rsidR="007F3CD9" w:rsidRDefault="007F3CD9"/>
    <w:p w14:paraId="171B66DF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Please complete the template with as much information as possible. </w:t>
      </w:r>
    </w:p>
    <w:p w14:paraId="11463BB3" w14:textId="77777777" w:rsidR="001976E1" w:rsidRDefault="00695F66" w:rsidP="00695F66">
      <w:pPr>
        <w:pStyle w:val="ListParagraph"/>
        <w:numPr>
          <w:ilvl w:val="0"/>
          <w:numId w:val="1"/>
        </w:numPr>
      </w:pPr>
      <w:r>
        <w:t>*fields are essential.</w:t>
      </w:r>
    </w:p>
    <w:p w14:paraId="4E6D0ED4" w14:textId="77777777" w:rsidR="00695F66" w:rsidRDefault="00695F66" w:rsidP="00695F66">
      <w:pPr>
        <w:pStyle w:val="ListParagraph"/>
        <w:numPr>
          <w:ilvl w:val="0"/>
          <w:numId w:val="1"/>
        </w:numPr>
      </w:pPr>
      <w:r>
        <w:t xml:space="preserve">If you have information that does not have a </w:t>
      </w:r>
      <w:r w:rsidR="00BA71ED">
        <w:t>l</w:t>
      </w:r>
      <w:r w:rsidR="00957551">
        <w:t>abel</w:t>
      </w:r>
      <w:r>
        <w:t xml:space="preserve">, please create a new row in the table for it. </w:t>
      </w:r>
    </w:p>
    <w:p w14:paraId="48DEBBD3" w14:textId="77777777" w:rsidR="001976E1" w:rsidRDefault="001976E1"/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E0599" w14:paraId="470BFEBC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3D85B35" w14:textId="77777777" w:rsidR="007E0599" w:rsidRPr="007F3CD9" w:rsidRDefault="007E0599" w:rsidP="007E0599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Title of studentship</w:t>
            </w:r>
          </w:p>
        </w:tc>
        <w:tc>
          <w:tcPr>
            <w:tcW w:w="7789" w:type="dxa"/>
          </w:tcPr>
          <w:p w14:paraId="3E2FB3A8" w14:textId="68EB2CF3" w:rsidR="001B5748" w:rsidRDefault="001A2567" w:rsidP="001B5748">
            <w:r>
              <w:t>Selective targeting of proteases for the treatment of chronic airways disease.</w:t>
            </w:r>
          </w:p>
        </w:tc>
      </w:tr>
      <w:tr w:rsidR="007E0599" w14:paraId="31C3D3B2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2384FC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Value</w:t>
            </w:r>
            <w:r>
              <w:rPr>
                <w:b/>
              </w:rPr>
              <w:t xml:space="preserve"> / what is covered? </w:t>
            </w:r>
          </w:p>
        </w:tc>
        <w:tc>
          <w:tcPr>
            <w:tcW w:w="7789" w:type="dxa"/>
          </w:tcPr>
          <w:p w14:paraId="6995C56D" w14:textId="76360EA2" w:rsidR="007E0599" w:rsidRDefault="00BD4577" w:rsidP="005267C0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 xml:space="preserve">Eligible students may compete for a Department of the Economy (DfE), Northern Ireland studentship which would be fully funded for three years, covering 100% of the UK/EU postgraduate tuition fee (currently £4,407 per annum) and a living stipend (currently £14,777 per annum). Applications from self-funding non-UK/EU nationals are also welcome, although, if successful, these applicants would, in addition to their living/maintenance costs, have to cover the additional costs associated with the international tuition fee (currently £21,300 per annum). </w:t>
            </w:r>
          </w:p>
        </w:tc>
      </w:tr>
      <w:tr w:rsidR="007E0599" w14:paraId="694401E5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409D191F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Awarding body</w:t>
            </w:r>
          </w:p>
        </w:tc>
        <w:tc>
          <w:tcPr>
            <w:tcW w:w="7789" w:type="dxa"/>
          </w:tcPr>
          <w:p w14:paraId="65D9A2B6" w14:textId="33D71645" w:rsidR="007E0599" w:rsidRDefault="00BD4577" w:rsidP="007E0599">
            <w:r>
              <w:rPr>
                <w:rFonts w:ascii="Calibri" w:hAnsi="Calibri"/>
              </w:rPr>
              <w:t>This PhD project is eligible for consideration for a Department of the Economy (DfE), Northern Ireland studentship. Self-funding students also welcome to apply.</w:t>
            </w:r>
          </w:p>
        </w:tc>
      </w:tr>
      <w:tr w:rsidR="007E0599" w14:paraId="5E50BAF4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109AFF7" w14:textId="77777777" w:rsidR="007E0599" w:rsidRPr="007F3CD9" w:rsidRDefault="007E0599" w:rsidP="007E0599">
            <w:pPr>
              <w:rPr>
                <w:b/>
              </w:rPr>
            </w:pPr>
            <w:r w:rsidRPr="007F3CD9">
              <w:rPr>
                <w:b/>
              </w:rPr>
              <w:t>Number of studentships</w:t>
            </w:r>
          </w:p>
        </w:tc>
        <w:tc>
          <w:tcPr>
            <w:tcW w:w="7789" w:type="dxa"/>
          </w:tcPr>
          <w:p w14:paraId="1BB087A6" w14:textId="05FEF6E8" w:rsidR="007E0599" w:rsidRDefault="005267C0" w:rsidP="007E0599">
            <w:r>
              <w:t>1</w:t>
            </w:r>
          </w:p>
        </w:tc>
      </w:tr>
      <w:tr w:rsidR="007A041B" w14:paraId="67E34D74" w14:textId="77777777" w:rsidTr="007E0599">
        <w:trPr>
          <w:trHeight w:val="1412"/>
        </w:trPr>
        <w:tc>
          <w:tcPr>
            <w:tcW w:w="1522" w:type="dxa"/>
            <w:shd w:val="clear" w:color="auto" w:fill="DEEAF6" w:themeFill="accent1" w:themeFillTint="33"/>
          </w:tcPr>
          <w:p w14:paraId="5A20FFB3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 xml:space="preserve">Summary </w:t>
            </w:r>
            <w:r>
              <w:rPr>
                <w:b/>
              </w:rPr>
              <w:t xml:space="preserve">descriptive </w:t>
            </w:r>
            <w:r w:rsidRPr="007F3CD9">
              <w:rPr>
                <w:b/>
              </w:rPr>
              <w:t>text</w:t>
            </w:r>
            <w:r>
              <w:rPr>
                <w:b/>
              </w:rPr>
              <w:t xml:space="preserve"> / Example of research project </w:t>
            </w:r>
          </w:p>
        </w:tc>
        <w:tc>
          <w:tcPr>
            <w:tcW w:w="7789" w:type="dxa"/>
          </w:tcPr>
          <w:p w14:paraId="069EE4B7" w14:textId="2E911C5A" w:rsidR="001A2567" w:rsidRPr="006C1017" w:rsidRDefault="00746130" w:rsidP="001A2567">
            <w:pPr>
              <w:spacing w:after="80"/>
              <w:jc w:val="both"/>
              <w:rPr>
                <w:sz w:val="21"/>
              </w:rPr>
            </w:pPr>
            <w:r>
              <w:rPr>
                <w:sz w:val="21"/>
              </w:rPr>
              <w:t>C</w:t>
            </w:r>
            <w:r w:rsidR="001A2567" w:rsidRPr="006C1017">
              <w:rPr>
                <w:sz w:val="21"/>
              </w:rPr>
              <w:t xml:space="preserve">ystic fibrosis (CF) and chronic obstructive </w:t>
            </w:r>
            <w:r w:rsidR="00122FFE">
              <w:rPr>
                <w:sz w:val="21"/>
              </w:rPr>
              <w:t>pulmonary</w:t>
            </w:r>
            <w:r w:rsidR="001A2567" w:rsidRPr="006C1017">
              <w:rPr>
                <w:sz w:val="21"/>
              </w:rPr>
              <w:t xml:space="preserve"> disease (COPD) are</w:t>
            </w:r>
            <w:r>
              <w:rPr>
                <w:sz w:val="21"/>
              </w:rPr>
              <w:t xml:space="preserve"> both progressive airways diseases </w:t>
            </w:r>
            <w:r w:rsidR="001A2567" w:rsidRPr="006C1017">
              <w:rPr>
                <w:sz w:val="21"/>
              </w:rPr>
              <w:t xml:space="preserve">associated </w:t>
            </w:r>
            <w:r w:rsidR="00603EE4">
              <w:rPr>
                <w:sz w:val="21"/>
              </w:rPr>
              <w:t xml:space="preserve">with </w:t>
            </w:r>
            <w:r w:rsidR="00122FFE">
              <w:rPr>
                <w:sz w:val="21"/>
              </w:rPr>
              <w:t>cycles of infection and inflammation, lung tissue destruction and pulmonary decline. I</w:t>
            </w:r>
            <w:r w:rsidR="001A2567" w:rsidRPr="006C1017">
              <w:rPr>
                <w:sz w:val="21"/>
              </w:rPr>
              <w:t>ntensive management needs and frequency in hospitalization</w:t>
            </w:r>
            <w:r w:rsidR="00122FFE">
              <w:rPr>
                <w:sz w:val="21"/>
              </w:rPr>
              <w:t xml:space="preserve"> give rise to</w:t>
            </w:r>
            <w:r w:rsidR="00122FFE" w:rsidRPr="006C1017">
              <w:rPr>
                <w:sz w:val="21"/>
              </w:rPr>
              <w:t xml:space="preserve"> significant treatment costs (UK £4.7 bn &amp; USA $42.6 bn pa)</w:t>
            </w:r>
            <w:r w:rsidR="00122FFE">
              <w:rPr>
                <w:sz w:val="21"/>
              </w:rPr>
              <w:t xml:space="preserve">. New therapies targeting some of the specific cellular processes associated with these diseases could help improve both lung function and quality of life </w:t>
            </w:r>
            <w:r w:rsidR="00603EE4">
              <w:rPr>
                <w:sz w:val="21"/>
              </w:rPr>
              <w:t xml:space="preserve">which would </w:t>
            </w:r>
            <w:proofErr w:type="gramStart"/>
            <w:r w:rsidR="00603EE4">
              <w:rPr>
                <w:sz w:val="21"/>
              </w:rPr>
              <w:t>also  reduce</w:t>
            </w:r>
            <w:proofErr w:type="gramEnd"/>
            <w:r w:rsidR="00603EE4">
              <w:rPr>
                <w:sz w:val="21"/>
              </w:rPr>
              <w:t xml:space="preserve"> hospital admissions</w:t>
            </w:r>
            <w:r w:rsidR="00122FFE">
              <w:rPr>
                <w:sz w:val="21"/>
              </w:rPr>
              <w:t>.</w:t>
            </w:r>
          </w:p>
          <w:p w14:paraId="79F453D3" w14:textId="2103C9CA" w:rsidR="001A2567" w:rsidRPr="006C1017" w:rsidRDefault="001A2567" w:rsidP="001A2567">
            <w:pPr>
              <w:spacing w:after="80"/>
              <w:jc w:val="both"/>
              <w:rPr>
                <w:sz w:val="21"/>
              </w:rPr>
            </w:pPr>
            <w:r w:rsidRPr="006C1017">
              <w:rPr>
                <w:sz w:val="21"/>
              </w:rPr>
              <w:t>Lung damage is associated with impaired clearance mechanisms due to disease-specific triggers of airways dehydration. In normal airways, the epithelial sodium channel (ENaC) is predominantly silent however</w:t>
            </w:r>
            <w:r>
              <w:rPr>
                <w:sz w:val="21"/>
              </w:rPr>
              <w:t xml:space="preserve"> a protease-antiprotease imbalance present in chronic lung disease can cause a</w:t>
            </w:r>
            <w:r w:rsidRPr="006C1017">
              <w:rPr>
                <w:rFonts w:cs="Arial"/>
                <w:sz w:val="21"/>
              </w:rPr>
              <w:t xml:space="preserve"> dysregulation of ENaC lead</w:t>
            </w:r>
            <w:r>
              <w:rPr>
                <w:rFonts w:cs="Arial"/>
                <w:sz w:val="21"/>
              </w:rPr>
              <w:t>ing</w:t>
            </w:r>
            <w:r w:rsidRPr="006C1017">
              <w:rPr>
                <w:rFonts w:cs="Arial"/>
                <w:sz w:val="21"/>
              </w:rPr>
              <w:t xml:space="preserve"> to increased Na</w:t>
            </w:r>
            <w:r w:rsidRPr="006C1017">
              <w:rPr>
                <w:rFonts w:cs="Arial"/>
                <w:sz w:val="21"/>
                <w:vertAlign w:val="superscript"/>
              </w:rPr>
              <w:t>+</w:t>
            </w:r>
            <w:r w:rsidRPr="006C1017">
              <w:rPr>
                <w:rFonts w:cs="Arial"/>
                <w:sz w:val="21"/>
              </w:rPr>
              <w:t xml:space="preserve"> absorption, airways dehydration, thickened mucus and impaired </w:t>
            </w:r>
            <w:proofErr w:type="spellStart"/>
            <w:r w:rsidRPr="006C1017">
              <w:rPr>
                <w:rFonts w:cs="Arial"/>
                <w:sz w:val="21"/>
              </w:rPr>
              <w:t>mucociliary</w:t>
            </w:r>
            <w:proofErr w:type="spellEnd"/>
            <w:r w:rsidRPr="006C1017">
              <w:rPr>
                <w:rFonts w:cs="Arial"/>
                <w:sz w:val="21"/>
              </w:rPr>
              <w:t xml:space="preserve"> clearance (MCC)</w:t>
            </w:r>
            <w:r w:rsidRPr="006C1017">
              <w:rPr>
                <w:sz w:val="21"/>
              </w:rPr>
              <w:t>.</w:t>
            </w:r>
            <w:r w:rsidRPr="006C1017">
              <w:rPr>
                <w:rFonts w:cs="Arial"/>
                <w:sz w:val="21"/>
              </w:rPr>
              <w:t xml:space="preserve"> </w:t>
            </w:r>
            <w:r w:rsidRPr="006C1017">
              <w:rPr>
                <w:sz w:val="21"/>
              </w:rPr>
              <w:t xml:space="preserve">As restoration of normal airway clearance mechanisms would serve to reduce the risk/number of life-limiting cycles of infection and lung injury, </w:t>
            </w:r>
            <w:r w:rsidRPr="006C1017">
              <w:rPr>
                <w:rFonts w:cs="Arial"/>
                <w:sz w:val="21"/>
              </w:rPr>
              <w:t>inhibition of ENaC represents an attractive therapeutic strategy</w:t>
            </w:r>
            <w:r w:rsidR="00603EE4">
              <w:rPr>
                <w:rFonts w:cs="Arial"/>
                <w:sz w:val="21"/>
              </w:rPr>
              <w:t xml:space="preserve"> for </w:t>
            </w:r>
            <w:proofErr w:type="spellStart"/>
            <w:r w:rsidR="00603EE4">
              <w:rPr>
                <w:rFonts w:cs="Arial"/>
                <w:sz w:val="21"/>
              </w:rPr>
              <w:t>repiratory</w:t>
            </w:r>
            <w:proofErr w:type="spellEnd"/>
            <w:r w:rsidR="00603EE4">
              <w:rPr>
                <w:rFonts w:cs="Arial"/>
                <w:sz w:val="21"/>
              </w:rPr>
              <w:t xml:space="preserve"> medicine</w:t>
            </w:r>
            <w:r w:rsidRPr="006C1017">
              <w:rPr>
                <w:rFonts w:cs="Arial"/>
                <w:sz w:val="21"/>
              </w:rPr>
              <w:t xml:space="preserve">, </w:t>
            </w:r>
            <w:r w:rsidRPr="006C1017">
              <w:rPr>
                <w:sz w:val="21"/>
              </w:rPr>
              <w:t xml:space="preserve">independent of </w:t>
            </w:r>
            <w:proofErr w:type="spellStart"/>
            <w:r w:rsidRPr="006C1017">
              <w:rPr>
                <w:sz w:val="21"/>
              </w:rPr>
              <w:t>etiology</w:t>
            </w:r>
            <w:proofErr w:type="spellEnd"/>
            <w:r w:rsidRPr="006C1017">
              <w:rPr>
                <w:sz w:val="21"/>
              </w:rPr>
              <w:t xml:space="preserve"> of disease.</w:t>
            </w:r>
          </w:p>
          <w:p w14:paraId="237558FB" w14:textId="4E39DA58" w:rsidR="007A041B" w:rsidRDefault="00164DC3" w:rsidP="00164DC3">
            <w:pPr>
              <w:jc w:val="both"/>
            </w:pPr>
            <w:r>
              <w:rPr>
                <w:rFonts w:cs="Arial"/>
                <w:sz w:val="21"/>
              </w:rPr>
              <w:t xml:space="preserve">We have already shown, </w:t>
            </w:r>
            <w:r w:rsidRPr="006C1017">
              <w:rPr>
                <w:rFonts w:cs="Arial"/>
                <w:sz w:val="21"/>
              </w:rPr>
              <w:t xml:space="preserve">using primary human CF </w:t>
            </w:r>
            <w:r w:rsidR="002F354E">
              <w:rPr>
                <w:rFonts w:cs="Arial"/>
                <w:sz w:val="21"/>
              </w:rPr>
              <w:t xml:space="preserve">and COPD </w:t>
            </w:r>
            <w:r w:rsidRPr="006C1017">
              <w:rPr>
                <w:rFonts w:cs="Arial"/>
                <w:sz w:val="21"/>
              </w:rPr>
              <w:t xml:space="preserve">bronchial epithelial cells, </w:t>
            </w:r>
            <w:r>
              <w:rPr>
                <w:rFonts w:cs="Arial"/>
                <w:sz w:val="21"/>
              </w:rPr>
              <w:t>that</w:t>
            </w:r>
            <w:r w:rsidRPr="006C1017">
              <w:rPr>
                <w:rFonts w:cs="Arial"/>
                <w:sz w:val="21"/>
              </w:rPr>
              <w:t xml:space="preserve"> first-in-class, highly selective, sub-nanomolar inhibitors</w:t>
            </w:r>
            <w:r>
              <w:rPr>
                <w:rFonts w:cs="Arial"/>
                <w:sz w:val="21"/>
              </w:rPr>
              <w:t>,</w:t>
            </w:r>
            <w:r w:rsidRPr="006C1017">
              <w:rPr>
                <w:rFonts w:cs="Arial"/>
                <w:sz w:val="21"/>
              </w:rPr>
              <w:t xml:space="preserve"> </w:t>
            </w:r>
            <w:r>
              <w:rPr>
                <w:rFonts w:cs="Arial"/>
                <w:sz w:val="21"/>
              </w:rPr>
              <w:t xml:space="preserve">some of which are </w:t>
            </w:r>
            <w:r w:rsidRPr="006C1017">
              <w:rPr>
                <w:rFonts w:cs="Arial"/>
                <w:sz w:val="21"/>
              </w:rPr>
              <w:t>currently being developed as drug candidates</w:t>
            </w:r>
            <w:r w:rsidR="00603EE4">
              <w:rPr>
                <w:rFonts w:cs="Arial"/>
                <w:sz w:val="21"/>
              </w:rPr>
              <w:t>,</w:t>
            </w:r>
            <w:r w:rsidRPr="006C1017">
              <w:rPr>
                <w:rFonts w:cs="Arial"/>
                <w:sz w:val="21"/>
              </w:rPr>
              <w:t xml:space="preserve"> </w:t>
            </w:r>
            <w:r>
              <w:rPr>
                <w:rFonts w:cs="Arial"/>
                <w:sz w:val="21"/>
              </w:rPr>
              <w:t>are</w:t>
            </w:r>
            <w:r w:rsidRPr="006C1017">
              <w:rPr>
                <w:rFonts w:cs="Arial"/>
                <w:sz w:val="21"/>
              </w:rPr>
              <w:t xml:space="preserve"> highly effective inhibitors of ENaC </w:t>
            </w:r>
            <w:proofErr w:type="spellStart"/>
            <w:r w:rsidRPr="006C1017">
              <w:rPr>
                <w:rFonts w:cs="Arial"/>
                <w:sz w:val="21"/>
              </w:rPr>
              <w:t>signaling</w:t>
            </w:r>
            <w:proofErr w:type="spellEnd"/>
            <w:r w:rsidRPr="006C1017">
              <w:rPr>
                <w:rFonts w:cs="Arial"/>
                <w:sz w:val="21"/>
              </w:rPr>
              <w:t xml:space="preserve"> leading to an increase in airway surface liquid. </w:t>
            </w:r>
            <w:r w:rsidR="001A2567" w:rsidRPr="006C1017">
              <w:rPr>
                <w:rFonts w:cs="Arial"/>
                <w:sz w:val="21"/>
              </w:rPr>
              <w:t xml:space="preserve">The objective of this study is to </w:t>
            </w:r>
            <w:r>
              <w:rPr>
                <w:rFonts w:cs="Arial"/>
                <w:sz w:val="21"/>
              </w:rPr>
              <w:t xml:space="preserve">see if </w:t>
            </w:r>
            <w:r w:rsidR="002F354E">
              <w:rPr>
                <w:rFonts w:cs="Arial"/>
                <w:sz w:val="21"/>
              </w:rPr>
              <w:t>further</w:t>
            </w:r>
            <w:r>
              <w:rPr>
                <w:rFonts w:cs="Arial"/>
                <w:sz w:val="21"/>
              </w:rPr>
              <w:t xml:space="preserve"> beneficial effects can be observed</w:t>
            </w:r>
            <w:r w:rsidR="001A2567" w:rsidRPr="006C1017">
              <w:rPr>
                <w:rFonts w:cs="Arial"/>
                <w:sz w:val="21"/>
              </w:rPr>
              <w:t xml:space="preserve">. This project will explore other potential therapeutic benefits </w:t>
            </w:r>
            <w:r>
              <w:rPr>
                <w:rFonts w:cs="Arial"/>
                <w:sz w:val="21"/>
              </w:rPr>
              <w:t xml:space="preserve">to include </w:t>
            </w:r>
            <w:r w:rsidR="001A2567" w:rsidRPr="006C1017">
              <w:rPr>
                <w:rFonts w:cs="Arial"/>
                <w:sz w:val="21"/>
              </w:rPr>
              <w:t xml:space="preserve">impact on inflammation and airway </w:t>
            </w:r>
            <w:proofErr w:type="spellStart"/>
            <w:r w:rsidR="001A2567" w:rsidRPr="006C1017">
              <w:rPr>
                <w:rFonts w:cs="Arial"/>
                <w:sz w:val="21"/>
              </w:rPr>
              <w:t>remodeling</w:t>
            </w:r>
            <w:proofErr w:type="spellEnd"/>
            <w:r w:rsidR="001A2567" w:rsidRPr="006C1017">
              <w:rPr>
                <w:rFonts w:cs="Arial"/>
                <w:sz w:val="21"/>
              </w:rPr>
              <w:t xml:space="preserve"> (fibrogenesis) as well as suppression of </w:t>
            </w:r>
            <w:proofErr w:type="spellStart"/>
            <w:r w:rsidR="001A2567" w:rsidRPr="006C1017">
              <w:rPr>
                <w:rFonts w:cs="Arial"/>
                <w:sz w:val="21"/>
              </w:rPr>
              <w:t>signaling</w:t>
            </w:r>
            <w:proofErr w:type="spellEnd"/>
            <w:r w:rsidR="001A2567" w:rsidRPr="006C1017">
              <w:rPr>
                <w:rFonts w:cs="Arial"/>
                <w:sz w:val="21"/>
              </w:rPr>
              <w:t xml:space="preserve"> </w:t>
            </w:r>
            <w:r>
              <w:rPr>
                <w:rFonts w:cs="Arial"/>
                <w:sz w:val="21"/>
              </w:rPr>
              <w:t>pathwa</w:t>
            </w:r>
            <w:r w:rsidR="00603EE4">
              <w:rPr>
                <w:rFonts w:cs="Arial"/>
                <w:sz w:val="21"/>
              </w:rPr>
              <w:t>y</w:t>
            </w:r>
            <w:r>
              <w:rPr>
                <w:rFonts w:cs="Arial"/>
                <w:sz w:val="21"/>
              </w:rPr>
              <w:t xml:space="preserve">s </w:t>
            </w:r>
            <w:r w:rsidR="001A2567" w:rsidRPr="006C1017">
              <w:rPr>
                <w:rFonts w:cs="Arial"/>
                <w:sz w:val="21"/>
              </w:rPr>
              <w:t xml:space="preserve">which could potentially </w:t>
            </w:r>
            <w:r>
              <w:rPr>
                <w:rFonts w:cs="Arial"/>
                <w:sz w:val="21"/>
              </w:rPr>
              <w:t xml:space="preserve">reduce the muco-secretory/obstructive phenotype associated with COPD. </w:t>
            </w:r>
            <w:r w:rsidR="001A2567" w:rsidRPr="006C1017">
              <w:rPr>
                <w:sz w:val="21"/>
              </w:rPr>
              <w:t xml:space="preserve">Importantly, these studies directly align to the strategic research interests of the Martin group, </w:t>
            </w:r>
            <w:r>
              <w:rPr>
                <w:sz w:val="21"/>
              </w:rPr>
              <w:t>and a</w:t>
            </w:r>
            <w:r w:rsidR="001A2567" w:rsidRPr="006C1017">
              <w:rPr>
                <w:sz w:val="21"/>
              </w:rPr>
              <w:t xml:space="preserve"> collaborative relationship with </w:t>
            </w:r>
            <w:r>
              <w:rPr>
                <w:sz w:val="21"/>
              </w:rPr>
              <w:t xml:space="preserve">an industry partner </w:t>
            </w:r>
            <w:r w:rsidR="007A041B">
              <w:rPr>
                <w:sz w:val="21"/>
              </w:rPr>
              <w:t>and provide opportunity for the successful applicant to benefit from the significant expertise of</w:t>
            </w:r>
            <w:r w:rsidR="007A041B" w:rsidRPr="006C1017">
              <w:rPr>
                <w:sz w:val="21"/>
              </w:rPr>
              <w:t xml:space="preserve"> </w:t>
            </w:r>
            <w:r>
              <w:rPr>
                <w:sz w:val="21"/>
              </w:rPr>
              <w:t>the research group</w:t>
            </w:r>
            <w:r w:rsidR="007A041B">
              <w:rPr>
                <w:sz w:val="21"/>
              </w:rPr>
              <w:t xml:space="preserve">. </w:t>
            </w:r>
          </w:p>
        </w:tc>
      </w:tr>
      <w:tr w:rsidR="007A041B" w14:paraId="10C0BBE2" w14:textId="77777777" w:rsidTr="007E0599">
        <w:trPr>
          <w:trHeight w:val="625"/>
        </w:trPr>
        <w:tc>
          <w:tcPr>
            <w:tcW w:w="1522" w:type="dxa"/>
            <w:shd w:val="clear" w:color="auto" w:fill="DEEAF6" w:themeFill="accent1" w:themeFillTint="33"/>
          </w:tcPr>
          <w:p w14:paraId="161F44CB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lastRenderedPageBreak/>
              <w:t>*Supervisor(s)</w:t>
            </w:r>
          </w:p>
        </w:tc>
        <w:tc>
          <w:tcPr>
            <w:tcW w:w="7789" w:type="dxa"/>
          </w:tcPr>
          <w:p w14:paraId="4E0DCF1F" w14:textId="135D0257" w:rsidR="007A041B" w:rsidRDefault="007A041B" w:rsidP="007A041B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 xml:space="preserve">The project will be </w:t>
            </w:r>
            <w:r w:rsidR="00164DC3">
              <w:rPr>
                <w:rFonts w:ascii="Calibri" w:hAnsi="Calibri"/>
                <w:sz w:val="22"/>
                <w:szCs w:val="22"/>
              </w:rPr>
              <w:t xml:space="preserve">primarily </w:t>
            </w:r>
            <w:r>
              <w:rPr>
                <w:rFonts w:ascii="Calibri" w:hAnsi="Calibri"/>
                <w:sz w:val="22"/>
                <w:szCs w:val="22"/>
              </w:rPr>
              <w:t>supervised by Professor Lorraine Martin, School of Pharmacy</w:t>
            </w:r>
            <w:r w:rsidR="00164DC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Queen's University Belfast. Details and online profile are provided below. </w:t>
            </w:r>
          </w:p>
          <w:p w14:paraId="74AE0A38" w14:textId="6FDB8886" w:rsidR="007A041B" w:rsidRDefault="002F354E" w:rsidP="007A041B">
            <w:hyperlink r:id="rId5" w:history="1">
              <w:r w:rsidR="00164DC3" w:rsidRPr="00D20D92">
                <w:rPr>
                  <w:rStyle w:val="Hyperlink"/>
                </w:rPr>
                <w:t>https://pure.qub.ac.uk/en/persons/lorraine-martin</w:t>
              </w:r>
            </w:hyperlink>
          </w:p>
          <w:p w14:paraId="489ED791" w14:textId="100A42B6" w:rsidR="00164DC3" w:rsidRPr="007F3CD9" w:rsidRDefault="00164DC3" w:rsidP="007A041B"/>
        </w:tc>
      </w:tr>
      <w:tr w:rsidR="007A041B" w14:paraId="2D0B7AA3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4CF47749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*Eligibility / residence Status</w:t>
            </w:r>
          </w:p>
        </w:tc>
        <w:tc>
          <w:tcPr>
            <w:tcW w:w="7789" w:type="dxa"/>
          </w:tcPr>
          <w:p w14:paraId="101C7CF0" w14:textId="77777777" w:rsidR="007A041B" w:rsidRDefault="007A041B" w:rsidP="007A041B">
            <w:r>
              <w:t>For DfE Awards, eligibility restrictions apply.</w:t>
            </w:r>
          </w:p>
          <w:p w14:paraId="59910F79" w14:textId="00FBE1D1" w:rsidR="007A041B" w:rsidRPr="007F3CD9" w:rsidRDefault="007A041B" w:rsidP="007A041B">
            <w:r>
              <w:t>Self-funders: no restrictions.</w:t>
            </w:r>
          </w:p>
        </w:tc>
      </w:tr>
      <w:tr w:rsidR="007A041B" w14:paraId="113345A0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2C6C8559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7789" w:type="dxa"/>
          </w:tcPr>
          <w:p w14:paraId="5A4481C5" w14:textId="7343E514" w:rsidR="007A041B" w:rsidRDefault="007A041B" w:rsidP="007A041B">
            <w:pPr>
              <w:pStyle w:val="NormalWeb"/>
            </w:pPr>
            <w:r>
              <w:rPr>
                <w:rFonts w:ascii="Calibri" w:hAnsi="Calibri"/>
                <w:sz w:val="22"/>
                <w:szCs w:val="22"/>
              </w:rPr>
              <w:t>School of Pharmacy, Medical Biology Centre, Queen's University Belfast, Northern Ireland, UK, BT9 7BL.</w:t>
            </w:r>
          </w:p>
        </w:tc>
      </w:tr>
      <w:tr w:rsidR="007A041B" w14:paraId="78BDF1FD" w14:textId="77777777" w:rsidTr="007E0599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7702C38B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 xml:space="preserve">*Start date and duration </w:t>
            </w:r>
          </w:p>
        </w:tc>
        <w:tc>
          <w:tcPr>
            <w:tcW w:w="7789" w:type="dxa"/>
          </w:tcPr>
          <w:p w14:paraId="72C13292" w14:textId="208BB24F" w:rsidR="007A041B" w:rsidRDefault="007A041B" w:rsidP="007A041B">
            <w:r>
              <w:t>1</w:t>
            </w:r>
            <w:r w:rsidRPr="005267C0">
              <w:rPr>
                <w:vertAlign w:val="superscript"/>
              </w:rPr>
              <w:t>st</w:t>
            </w:r>
            <w:r>
              <w:t xml:space="preserve"> October 2021</w:t>
            </w:r>
          </w:p>
        </w:tc>
      </w:tr>
      <w:tr w:rsidR="007A041B" w14:paraId="5BE00321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29F966EE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Faculty</w:t>
            </w:r>
          </w:p>
        </w:tc>
        <w:tc>
          <w:tcPr>
            <w:tcW w:w="7789" w:type="dxa"/>
          </w:tcPr>
          <w:p w14:paraId="5FEE8137" w14:textId="10B84DEF" w:rsidR="007A041B" w:rsidRDefault="007A041B" w:rsidP="007A041B">
            <w:r>
              <w:t>Medicine, Health &amp; Life Sciences</w:t>
            </w:r>
            <w:r w:rsidR="00164DC3">
              <w:t xml:space="preserve"> (MHLS)</w:t>
            </w:r>
          </w:p>
        </w:tc>
      </w:tr>
      <w:tr w:rsidR="007A041B" w14:paraId="2FD6EA6E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BE4F543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t>*</w:t>
            </w:r>
            <w:r w:rsidRPr="007F3CD9">
              <w:rPr>
                <w:b/>
              </w:rPr>
              <w:t>Research centre / School</w:t>
            </w:r>
          </w:p>
        </w:tc>
        <w:tc>
          <w:tcPr>
            <w:tcW w:w="7789" w:type="dxa"/>
          </w:tcPr>
          <w:p w14:paraId="59A1D0DF" w14:textId="0760248C" w:rsidR="007A041B" w:rsidRDefault="007A041B" w:rsidP="007A041B">
            <w:r>
              <w:t>School of Pharmacy</w:t>
            </w:r>
          </w:p>
        </w:tc>
      </w:tr>
      <w:tr w:rsidR="007A041B" w14:paraId="7931EE40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62EC5B9F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Subject area</w:t>
            </w:r>
          </w:p>
        </w:tc>
        <w:tc>
          <w:tcPr>
            <w:tcW w:w="7789" w:type="dxa"/>
          </w:tcPr>
          <w:p w14:paraId="2083BE8D" w14:textId="5B97451D" w:rsidR="007A041B" w:rsidRPr="00B52E90" w:rsidRDefault="007A041B" w:rsidP="007A041B">
            <w:r>
              <w:t xml:space="preserve">Chronic airways diseases to include </w:t>
            </w:r>
            <w:r w:rsidR="0045432C">
              <w:t>protease</w:t>
            </w:r>
            <w:r w:rsidRPr="00B52E90">
              <w:t xml:space="preserve"> biochemistry &amp; </w:t>
            </w:r>
            <w:r w:rsidR="0045432C">
              <w:t xml:space="preserve">airway </w:t>
            </w:r>
            <w:r w:rsidRPr="00B52E90">
              <w:t>physiology</w:t>
            </w:r>
            <w:r>
              <w:t>.</w:t>
            </w:r>
          </w:p>
        </w:tc>
      </w:tr>
      <w:tr w:rsidR="007A041B" w14:paraId="4927DD08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0B8E14F3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 xml:space="preserve">Candidate requirements / Key skills required for the post </w:t>
            </w:r>
          </w:p>
          <w:p w14:paraId="64C65FF4" w14:textId="77777777" w:rsidR="007A041B" w:rsidRPr="007F3CD9" w:rsidRDefault="007A041B" w:rsidP="007A041B">
            <w:pPr>
              <w:rPr>
                <w:b/>
              </w:rPr>
            </w:pPr>
          </w:p>
        </w:tc>
        <w:tc>
          <w:tcPr>
            <w:tcW w:w="7789" w:type="dxa"/>
          </w:tcPr>
          <w:p w14:paraId="4A67C38A" w14:textId="77777777" w:rsidR="007A041B" w:rsidRDefault="007A041B" w:rsidP="007A041B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  <w:r w:rsidRPr="00BD4577">
              <w:rPr>
                <w:rFonts w:asciiTheme="minorHAnsi" w:hAnsiTheme="minorHAnsi" w:cs="Arial"/>
                <w:sz w:val="22"/>
                <w:szCs w:val="22"/>
              </w:rPr>
              <w:t xml:space="preserve">Applicants should have a 1st or </w:t>
            </w:r>
            <w:r w:rsidRPr="00BD4577">
              <w:rPr>
                <w:rFonts w:asciiTheme="minorHAnsi" w:hAnsiTheme="minorHAnsi"/>
                <w:sz w:val="22"/>
                <w:szCs w:val="22"/>
              </w:rPr>
              <w:t xml:space="preserve">high 2.1 (&gt;67%) honours degree (or equivalent) </w:t>
            </w:r>
            <w:r w:rsidRPr="00BD4577">
              <w:rPr>
                <w:rFonts w:asciiTheme="minorHAnsi" w:hAnsiTheme="minorHAnsi" w:cs="Arial"/>
                <w:sz w:val="22"/>
                <w:szCs w:val="22"/>
              </w:rPr>
              <w:t xml:space="preserve">in a relevant subject. Relevant subjects include Biochemistry, Pharmaceutical Biotechnology, Molecular Biology, Physiology, Biological/Biomedical Sciences or a closely related discipline. Students who have a 2.2 honours degree and a </w:t>
            </w:r>
            <w:proofErr w:type="gramStart"/>
            <w:r w:rsidRPr="00BD4577">
              <w:rPr>
                <w:rFonts w:asciiTheme="minorHAnsi" w:hAnsiTheme="minorHAnsi" w:cs="Arial"/>
                <w:sz w:val="22"/>
                <w:szCs w:val="22"/>
              </w:rPr>
              <w:t>Master’s</w:t>
            </w:r>
            <w:proofErr w:type="gramEnd"/>
            <w:r w:rsidRPr="00BD4577">
              <w:rPr>
                <w:rFonts w:asciiTheme="minorHAnsi" w:hAnsiTheme="minorHAnsi" w:cs="Arial"/>
                <w:sz w:val="22"/>
                <w:szCs w:val="22"/>
              </w:rPr>
              <w:t xml:space="preserve"> degree may also be considered, but the School reserves the right to shortlist for interview only those applicants who have demonstrated high academic attainment to date</w:t>
            </w:r>
          </w:p>
          <w:p w14:paraId="295BFDE4" w14:textId="53C6D744" w:rsidR="007A041B" w:rsidRPr="007A041B" w:rsidRDefault="00603EE4" w:rsidP="007A041B">
            <w:r w:rsidRPr="00603EE4">
              <w:rPr>
                <w:rStyle w:val="Strong"/>
                <w:rFonts w:cs="Arial"/>
                <w:b w:val="0"/>
                <w:bCs w:val="0"/>
                <w:color w:val="2F2F2F"/>
              </w:rPr>
              <w:t>For international applicants</w:t>
            </w:r>
            <w:r>
              <w:rPr>
                <w:rStyle w:val="Strong"/>
                <w:rFonts w:cs="Arial"/>
                <w:b w:val="0"/>
                <w:bCs w:val="0"/>
                <w:color w:val="2F2F2F"/>
              </w:rPr>
              <w:t>:</w:t>
            </w:r>
            <w:r w:rsidRPr="00603EE4">
              <w:rPr>
                <w:rStyle w:val="Strong"/>
                <w:rFonts w:cs="Arial"/>
                <w:b w:val="0"/>
                <w:bCs w:val="0"/>
                <w:color w:val="2F2F2F"/>
              </w:rPr>
              <w:t xml:space="preserve"> </w:t>
            </w:r>
            <w:r w:rsidR="007A041B" w:rsidRPr="007A041B">
              <w:rPr>
                <w:rFonts w:cs="Arial"/>
                <w:color w:val="2F2F2F"/>
                <w:shd w:val="clear" w:color="auto" w:fill="FFFFFF"/>
              </w:rPr>
              <w:t>Evidence of an IELTS* score of 6.0, with not less than 5.5 in any component, or an equivalent qualification acceptable to the University is required. </w:t>
            </w:r>
          </w:p>
        </w:tc>
      </w:tr>
      <w:tr w:rsidR="007A041B" w14:paraId="0165EAEE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19576782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*Deadline for applications</w:t>
            </w:r>
          </w:p>
        </w:tc>
        <w:tc>
          <w:tcPr>
            <w:tcW w:w="7789" w:type="dxa"/>
          </w:tcPr>
          <w:p w14:paraId="7334CDFF" w14:textId="34DB834F" w:rsidR="007A041B" w:rsidRDefault="007A041B" w:rsidP="007A041B">
            <w:r>
              <w:t xml:space="preserve">For student </w:t>
            </w:r>
            <w:proofErr w:type="spellStart"/>
            <w:r>
              <w:t>eligibile</w:t>
            </w:r>
            <w:proofErr w:type="spellEnd"/>
            <w:r>
              <w:t xml:space="preserve"> for consideration of a DfE award please see the school website for details of closing dates.</w:t>
            </w:r>
          </w:p>
          <w:p w14:paraId="492A9368" w14:textId="361078BD" w:rsidR="007A041B" w:rsidRDefault="007A041B" w:rsidP="007A041B">
            <w:r>
              <w:t>Open call for candidates able to self-fund.</w:t>
            </w:r>
          </w:p>
        </w:tc>
      </w:tr>
      <w:tr w:rsidR="007A041B" w14:paraId="3DA8871F" w14:textId="77777777" w:rsidTr="007E0599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3DF26063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*How to apply / contacts</w:t>
            </w:r>
          </w:p>
        </w:tc>
        <w:tc>
          <w:tcPr>
            <w:tcW w:w="7789" w:type="dxa"/>
          </w:tcPr>
          <w:p w14:paraId="16688B16" w14:textId="5F8AD595" w:rsidR="007A041B" w:rsidRDefault="007A041B" w:rsidP="007A041B">
            <w:r w:rsidRPr="007F3CD9">
              <w:t>Postgraduate Research applicants</w:t>
            </w:r>
            <w:r>
              <w:t xml:space="preserve"> for</w:t>
            </w:r>
            <w:r w:rsidRPr="007F3CD9">
              <w:t xml:space="preserve"> </w:t>
            </w:r>
            <w:r>
              <w:t xml:space="preserve">Pharmacy </w:t>
            </w:r>
            <w:r w:rsidRPr="007F3CD9">
              <w:t xml:space="preserve">who are interested in applying for a fully funded </w:t>
            </w:r>
            <w:r>
              <w:t>DfE</w:t>
            </w:r>
            <w:r w:rsidRPr="007F3CD9">
              <w:t xml:space="preserve"> studentship must have applied to Queen’s, via the Direct Applications Portal, and submitted all required supporting documents by the closing date, which will be announced later in the Academic year.</w:t>
            </w:r>
          </w:p>
          <w:p w14:paraId="43AC971F" w14:textId="77777777" w:rsidR="007A041B" w:rsidRDefault="007A041B" w:rsidP="007A041B"/>
          <w:p w14:paraId="1D5870B9" w14:textId="76491A74" w:rsidR="007A041B" w:rsidRDefault="002F354E" w:rsidP="007A041B">
            <w:hyperlink r:id="rId6" w:history="1">
              <w:r w:rsidR="007A041B" w:rsidRPr="00920649">
                <w:rPr>
                  <w:rStyle w:val="Hyperlink"/>
                </w:rPr>
                <w:t>https://dap.qub.ac.uk/portal/user/u_login.php</w:t>
              </w:r>
            </w:hyperlink>
            <w:r w:rsidR="007A041B">
              <w:t xml:space="preserve"> </w:t>
            </w:r>
          </w:p>
          <w:p w14:paraId="2C358234" w14:textId="0807FB18" w:rsidR="007A041B" w:rsidRDefault="007A041B" w:rsidP="007A041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you need further information on the project, please email Prof. Lorraine Martin at </w:t>
            </w:r>
            <w:hyperlink r:id="rId7" w:history="1">
              <w:r w:rsidRPr="00D20D92">
                <w:rPr>
                  <w:rStyle w:val="Hyperlink"/>
                  <w:rFonts w:ascii="Calibri" w:hAnsi="Calibri"/>
                  <w:sz w:val="22"/>
                  <w:szCs w:val="22"/>
                </w:rPr>
                <w:t>l.martin@qub.ac.uk</w:t>
              </w:r>
            </w:hyperlink>
          </w:p>
          <w:p w14:paraId="4F2E48B7" w14:textId="39CA97FC" w:rsidR="007A041B" w:rsidRDefault="007A041B" w:rsidP="007A041B">
            <w:pPr>
              <w:pStyle w:val="NormalWeb"/>
            </w:pPr>
          </w:p>
        </w:tc>
      </w:tr>
      <w:tr w:rsidR="007A041B" w14:paraId="1E02E220" w14:textId="77777777" w:rsidTr="00BD4577">
        <w:trPr>
          <w:trHeight w:val="1956"/>
        </w:trPr>
        <w:tc>
          <w:tcPr>
            <w:tcW w:w="1522" w:type="dxa"/>
            <w:shd w:val="clear" w:color="auto" w:fill="DEEAF6" w:themeFill="accent1" w:themeFillTint="33"/>
          </w:tcPr>
          <w:p w14:paraId="055486A8" w14:textId="77777777" w:rsidR="007A041B" w:rsidRPr="007F3CD9" w:rsidRDefault="007A041B" w:rsidP="007A041B">
            <w:pPr>
              <w:rPr>
                <w:b/>
              </w:rPr>
            </w:pPr>
            <w:r>
              <w:rPr>
                <w:b/>
              </w:rPr>
              <w:lastRenderedPageBreak/>
              <w:t>Relevant</w:t>
            </w:r>
            <w:r w:rsidRPr="007F3CD9">
              <w:rPr>
                <w:b/>
              </w:rPr>
              <w:t xml:space="preserve"> links </w:t>
            </w:r>
            <w:r>
              <w:rPr>
                <w:b/>
              </w:rPr>
              <w:t xml:space="preserve">/ more information </w:t>
            </w:r>
          </w:p>
          <w:p w14:paraId="16BE9F12" w14:textId="77777777" w:rsidR="007A041B" w:rsidRDefault="007A041B" w:rsidP="007A041B"/>
        </w:tc>
        <w:tc>
          <w:tcPr>
            <w:tcW w:w="7789" w:type="dxa"/>
          </w:tcPr>
          <w:p w14:paraId="29E92652" w14:textId="01268BDF" w:rsidR="007A041B" w:rsidRDefault="007A041B" w:rsidP="007A041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General information about the research activities at the School of Pharmacy, Queen's University Belfast are available at the link below: </w:t>
            </w:r>
          </w:p>
          <w:p w14:paraId="3ED0A67B" w14:textId="42CE5B96" w:rsidR="007A041B" w:rsidRDefault="002F354E" w:rsidP="007A041B">
            <w:pPr>
              <w:rPr>
                <w:rStyle w:val="Hyperlink"/>
                <w:sz w:val="21"/>
                <w:szCs w:val="21"/>
              </w:rPr>
            </w:pPr>
            <w:hyperlink r:id="rId8" w:history="1">
              <w:r w:rsidR="007A041B" w:rsidRPr="00565F14">
                <w:rPr>
                  <w:rStyle w:val="Hyperlink"/>
                  <w:sz w:val="21"/>
                  <w:szCs w:val="21"/>
                </w:rPr>
                <w:t xml:space="preserve">Professor Lorraine </w:t>
              </w:r>
              <w:proofErr w:type="spellStart"/>
              <w:r w:rsidR="007A041B" w:rsidRPr="00565F14">
                <w:rPr>
                  <w:rStyle w:val="Hyperlink"/>
                  <w:sz w:val="21"/>
                  <w:szCs w:val="21"/>
                </w:rPr>
                <w:t>Martin_School</w:t>
              </w:r>
              <w:proofErr w:type="spellEnd"/>
              <w:r w:rsidR="007A041B" w:rsidRPr="00565F14">
                <w:rPr>
                  <w:rStyle w:val="Hyperlink"/>
                  <w:sz w:val="21"/>
                  <w:szCs w:val="21"/>
                </w:rPr>
                <w:t xml:space="preserve"> of Pharmacy, QUB</w:t>
              </w:r>
            </w:hyperlink>
          </w:p>
          <w:p w14:paraId="019C6A4E" w14:textId="77777777" w:rsidR="007A041B" w:rsidRPr="007A041B" w:rsidRDefault="007A041B" w:rsidP="007A041B">
            <w:pPr>
              <w:rPr>
                <w:color w:val="0563C1" w:themeColor="hyperlink"/>
                <w:sz w:val="21"/>
                <w:szCs w:val="21"/>
                <w:u w:val="single"/>
              </w:rPr>
            </w:pPr>
          </w:p>
          <w:p w14:paraId="706FD4C7" w14:textId="77777777" w:rsidR="007A041B" w:rsidRDefault="002F354E" w:rsidP="007A041B">
            <w:hyperlink r:id="rId9" w:history="1">
              <w:r w:rsidR="007A041B" w:rsidRPr="00810712">
                <w:rPr>
                  <w:rStyle w:val="Hyperlink"/>
                </w:rPr>
                <w:t>http://www.qub.ac.uk/schools/SchoolofPharmacy/Research/PostgraduatePositions/</w:t>
              </w:r>
            </w:hyperlink>
          </w:p>
          <w:p w14:paraId="0D42D0F4" w14:textId="77777777" w:rsidR="007A041B" w:rsidRDefault="007A041B" w:rsidP="007A041B"/>
          <w:p w14:paraId="5756E174" w14:textId="77777777" w:rsidR="007A041B" w:rsidRDefault="002F354E" w:rsidP="007A041B">
            <w:pPr>
              <w:rPr>
                <w:rStyle w:val="Hyperlink"/>
              </w:rPr>
            </w:pPr>
            <w:hyperlink r:id="rId10" w:history="1">
              <w:r w:rsidR="007A041B" w:rsidRPr="00810712">
                <w:rPr>
                  <w:rStyle w:val="Hyperlink"/>
                </w:rPr>
                <w:t>http://www.qub.ac.uk/schools/SchoolofPharmacy/Research/</w:t>
              </w:r>
            </w:hyperlink>
          </w:p>
          <w:p w14:paraId="5C254CDF" w14:textId="77777777" w:rsidR="007A041B" w:rsidRDefault="007A041B" w:rsidP="007A041B"/>
        </w:tc>
      </w:tr>
      <w:tr w:rsidR="007A041B" w14:paraId="6FA54374" w14:textId="77777777" w:rsidTr="007E0599">
        <w:trPr>
          <w:trHeight w:val="576"/>
        </w:trPr>
        <w:tc>
          <w:tcPr>
            <w:tcW w:w="1522" w:type="dxa"/>
            <w:shd w:val="clear" w:color="auto" w:fill="DEEAF6" w:themeFill="accent1" w:themeFillTint="33"/>
          </w:tcPr>
          <w:p w14:paraId="6FA9BAAB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Keywords for search filters</w:t>
            </w:r>
          </w:p>
        </w:tc>
        <w:tc>
          <w:tcPr>
            <w:tcW w:w="7789" w:type="dxa"/>
          </w:tcPr>
          <w:p w14:paraId="5D6B122D" w14:textId="6DE48DC2" w:rsidR="007A041B" w:rsidRDefault="00603EE4" w:rsidP="007A041B">
            <w:r>
              <w:rPr>
                <w:sz w:val="21"/>
                <w:szCs w:val="21"/>
              </w:rPr>
              <w:t xml:space="preserve">lung, respiratory, airways, </w:t>
            </w:r>
            <w:r>
              <w:t>C</w:t>
            </w:r>
            <w:r w:rsidR="007A041B">
              <w:t>OPD</w:t>
            </w:r>
            <w:r w:rsidR="007A041B" w:rsidRPr="00565F1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pr</w:t>
            </w:r>
            <w:r w:rsidR="0045432C">
              <w:t>oteases</w:t>
            </w:r>
            <w:r w:rsidR="007A041B" w:rsidRPr="00565F14">
              <w:rPr>
                <w:sz w:val="21"/>
                <w:szCs w:val="21"/>
              </w:rPr>
              <w:t xml:space="preserve">, cell biology, molecular biology, biochemistry, </w:t>
            </w:r>
            <w:r>
              <w:rPr>
                <w:sz w:val="21"/>
                <w:szCs w:val="21"/>
              </w:rPr>
              <w:t xml:space="preserve">electrophysiology, </w:t>
            </w:r>
          </w:p>
        </w:tc>
      </w:tr>
      <w:tr w:rsidR="007A041B" w14:paraId="46E95240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3219A3B1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Training provided through the research project</w:t>
            </w:r>
          </w:p>
        </w:tc>
        <w:tc>
          <w:tcPr>
            <w:tcW w:w="7789" w:type="dxa"/>
          </w:tcPr>
          <w:p w14:paraId="02EC8650" w14:textId="1F618CA1" w:rsidR="007A041B" w:rsidRPr="0045432C" w:rsidRDefault="0045432C" w:rsidP="007A041B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The successful applicant will join a well-resourced, multi-disciplinary team focussed on collaborative, translational research. The project will </w:t>
            </w:r>
            <w:r w:rsidR="00603EE4">
              <w:rPr>
                <w:rFonts w:ascii="Calibri" w:hAnsi="Calibri" w:cstheme="minorHAnsi"/>
                <w:sz w:val="22"/>
                <w:szCs w:val="22"/>
              </w:rPr>
              <w:t xml:space="preserve">include use of gold standard </w:t>
            </w:r>
            <w:r w:rsidR="00603EE4" w:rsidRPr="00603EE4">
              <w:rPr>
                <w:rFonts w:ascii="Calibri" w:hAnsi="Calibri" w:cstheme="minorHAnsi"/>
                <w:i/>
                <w:iCs/>
                <w:sz w:val="22"/>
                <w:szCs w:val="22"/>
              </w:rPr>
              <w:t>ex vivo</w:t>
            </w:r>
            <w:r w:rsidR="00603EE4">
              <w:rPr>
                <w:rFonts w:ascii="Calibri" w:hAnsi="Calibri" w:cstheme="minorHAnsi"/>
                <w:sz w:val="22"/>
                <w:szCs w:val="22"/>
              </w:rPr>
              <w:t xml:space="preserve"> models of primary human </w:t>
            </w: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airways epithelial cells </w:t>
            </w:r>
            <w:r w:rsidR="00603EE4">
              <w:rPr>
                <w:rFonts w:ascii="Calibri" w:hAnsi="Calibri" w:cstheme="minorHAnsi"/>
                <w:sz w:val="22"/>
                <w:szCs w:val="22"/>
              </w:rPr>
              <w:t xml:space="preserve">cultured </w:t>
            </w:r>
            <w:r w:rsidRPr="0045432C">
              <w:rPr>
                <w:rFonts w:ascii="Calibri" w:hAnsi="Calibri" w:cstheme="minorHAnsi"/>
                <w:sz w:val="22"/>
                <w:szCs w:val="22"/>
              </w:rPr>
              <w:t xml:space="preserve">at air-liquid interface and will offer expert training in a wide range of </w:t>
            </w:r>
            <w:r>
              <w:rPr>
                <w:rFonts w:ascii="Calibri" w:hAnsi="Calibri" w:cstheme="minorHAnsi"/>
                <w:sz w:val="22"/>
                <w:szCs w:val="22"/>
              </w:rPr>
              <w:t>biochemical</w:t>
            </w:r>
            <w:r w:rsidRPr="0045432C">
              <w:rPr>
                <w:rFonts w:ascii="Calibri" w:hAnsi="Calibri" w:cstheme="minorHAnsi"/>
                <w:sz w:val="22"/>
                <w:szCs w:val="22"/>
              </w:rPr>
              <w:t>, electrophysiological, protein biochemistry and imaging techniques.</w:t>
            </w:r>
          </w:p>
        </w:tc>
      </w:tr>
      <w:tr w:rsidR="007A041B" w14:paraId="731DC994" w14:textId="77777777" w:rsidTr="007E0599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00053B05" w14:textId="77777777" w:rsidR="007A041B" w:rsidRDefault="007A041B" w:rsidP="007A041B">
            <w:pPr>
              <w:rPr>
                <w:b/>
              </w:rPr>
            </w:pPr>
            <w:r>
              <w:rPr>
                <w:b/>
              </w:rPr>
              <w:t>Expected impact activities</w:t>
            </w:r>
          </w:p>
        </w:tc>
        <w:tc>
          <w:tcPr>
            <w:tcW w:w="7789" w:type="dxa"/>
          </w:tcPr>
          <w:p w14:paraId="27B558D6" w14:textId="632AB5BF" w:rsidR="007A041B" w:rsidRPr="0045432C" w:rsidRDefault="0045432C" w:rsidP="0045432C">
            <w:pPr>
              <w:jc w:val="both"/>
              <w:rPr>
                <w:sz w:val="21"/>
                <w:szCs w:val="21"/>
              </w:rPr>
            </w:pPr>
            <w:r w:rsidRPr="0045432C">
              <w:t>Students are expected to present at a minimum of one national and international meeting during their training and make a contribution to internationally excellent research outputs. Engagement with industry partners and participation in our on-going school’s outreach programme on lung health and/or science festivals will be encouraged.</w:t>
            </w:r>
            <w:r w:rsidR="007A041B" w:rsidRPr="0045432C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58CB29AD" w14:textId="77777777" w:rsidR="00375356" w:rsidRDefault="00375356"/>
    <w:sectPr w:rsidR="00375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Mincho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1543"/>
    <w:rsid w:val="00002F77"/>
    <w:rsid w:val="000035F4"/>
    <w:rsid w:val="000140E0"/>
    <w:rsid w:val="00017B3A"/>
    <w:rsid w:val="000211E7"/>
    <w:rsid w:val="00036AC1"/>
    <w:rsid w:val="0006730B"/>
    <w:rsid w:val="00074FC2"/>
    <w:rsid w:val="00076683"/>
    <w:rsid w:val="0008106D"/>
    <w:rsid w:val="00087903"/>
    <w:rsid w:val="00093ED6"/>
    <w:rsid w:val="000976C2"/>
    <w:rsid w:val="000B5232"/>
    <w:rsid w:val="000B5533"/>
    <w:rsid w:val="000C6238"/>
    <w:rsid w:val="000D5235"/>
    <w:rsid w:val="000D526E"/>
    <w:rsid w:val="000F0B0E"/>
    <w:rsid w:val="000F380D"/>
    <w:rsid w:val="000F550F"/>
    <w:rsid w:val="000F6B4D"/>
    <w:rsid w:val="000F6C8E"/>
    <w:rsid w:val="00100C14"/>
    <w:rsid w:val="00114809"/>
    <w:rsid w:val="00120DEF"/>
    <w:rsid w:val="001215F1"/>
    <w:rsid w:val="00122FFE"/>
    <w:rsid w:val="00125BB4"/>
    <w:rsid w:val="00127B6D"/>
    <w:rsid w:val="0013226E"/>
    <w:rsid w:val="00133C78"/>
    <w:rsid w:val="00136716"/>
    <w:rsid w:val="00136A7C"/>
    <w:rsid w:val="0014119A"/>
    <w:rsid w:val="00147201"/>
    <w:rsid w:val="00152845"/>
    <w:rsid w:val="00152DAA"/>
    <w:rsid w:val="00152DD3"/>
    <w:rsid w:val="00157E70"/>
    <w:rsid w:val="00164DC3"/>
    <w:rsid w:val="001757EF"/>
    <w:rsid w:val="001865C3"/>
    <w:rsid w:val="00190974"/>
    <w:rsid w:val="001976E1"/>
    <w:rsid w:val="001A2567"/>
    <w:rsid w:val="001B35A8"/>
    <w:rsid w:val="001B56F1"/>
    <w:rsid w:val="001B5748"/>
    <w:rsid w:val="001B7418"/>
    <w:rsid w:val="001B792D"/>
    <w:rsid w:val="001B7A47"/>
    <w:rsid w:val="001C09BA"/>
    <w:rsid w:val="001C15E7"/>
    <w:rsid w:val="001C36D8"/>
    <w:rsid w:val="001C59A2"/>
    <w:rsid w:val="001C6CFE"/>
    <w:rsid w:val="001D5A77"/>
    <w:rsid w:val="001E0C79"/>
    <w:rsid w:val="001E10DB"/>
    <w:rsid w:val="001E6AE7"/>
    <w:rsid w:val="001F273F"/>
    <w:rsid w:val="001F700A"/>
    <w:rsid w:val="0020192E"/>
    <w:rsid w:val="00201BD9"/>
    <w:rsid w:val="0020699C"/>
    <w:rsid w:val="002110A7"/>
    <w:rsid w:val="00211ADC"/>
    <w:rsid w:val="0023305E"/>
    <w:rsid w:val="00234A97"/>
    <w:rsid w:val="002438AA"/>
    <w:rsid w:val="0024565D"/>
    <w:rsid w:val="002663D0"/>
    <w:rsid w:val="002679A5"/>
    <w:rsid w:val="00270CA4"/>
    <w:rsid w:val="00275E36"/>
    <w:rsid w:val="00276A24"/>
    <w:rsid w:val="00286380"/>
    <w:rsid w:val="00287196"/>
    <w:rsid w:val="002963E1"/>
    <w:rsid w:val="002A0180"/>
    <w:rsid w:val="002A22B2"/>
    <w:rsid w:val="002A6F4F"/>
    <w:rsid w:val="002B644E"/>
    <w:rsid w:val="002B6455"/>
    <w:rsid w:val="002E0374"/>
    <w:rsid w:val="002E219E"/>
    <w:rsid w:val="002E6701"/>
    <w:rsid w:val="002F06D8"/>
    <w:rsid w:val="002F354E"/>
    <w:rsid w:val="002F38B4"/>
    <w:rsid w:val="002F3D8F"/>
    <w:rsid w:val="00300B77"/>
    <w:rsid w:val="00303DAB"/>
    <w:rsid w:val="00307A16"/>
    <w:rsid w:val="00312241"/>
    <w:rsid w:val="00315F1B"/>
    <w:rsid w:val="00317C62"/>
    <w:rsid w:val="00322E90"/>
    <w:rsid w:val="0034159F"/>
    <w:rsid w:val="003418CF"/>
    <w:rsid w:val="00342E0B"/>
    <w:rsid w:val="003437FB"/>
    <w:rsid w:val="00346EA7"/>
    <w:rsid w:val="00347872"/>
    <w:rsid w:val="00353B81"/>
    <w:rsid w:val="0036592A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1182"/>
    <w:rsid w:val="003F5DA8"/>
    <w:rsid w:val="003F716D"/>
    <w:rsid w:val="00403319"/>
    <w:rsid w:val="0040602C"/>
    <w:rsid w:val="00407ED6"/>
    <w:rsid w:val="00420A13"/>
    <w:rsid w:val="0043514D"/>
    <w:rsid w:val="00437BE9"/>
    <w:rsid w:val="004418E8"/>
    <w:rsid w:val="00452039"/>
    <w:rsid w:val="0045432C"/>
    <w:rsid w:val="004658F1"/>
    <w:rsid w:val="0047023E"/>
    <w:rsid w:val="0047276F"/>
    <w:rsid w:val="00480978"/>
    <w:rsid w:val="00480D4A"/>
    <w:rsid w:val="0048607D"/>
    <w:rsid w:val="004874AA"/>
    <w:rsid w:val="004A4702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67C0"/>
    <w:rsid w:val="00527250"/>
    <w:rsid w:val="0053253B"/>
    <w:rsid w:val="0053628D"/>
    <w:rsid w:val="00541A46"/>
    <w:rsid w:val="00550AAE"/>
    <w:rsid w:val="00553299"/>
    <w:rsid w:val="00553AB1"/>
    <w:rsid w:val="00567EBE"/>
    <w:rsid w:val="00574D74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03EE4"/>
    <w:rsid w:val="00614685"/>
    <w:rsid w:val="00636529"/>
    <w:rsid w:val="00636A02"/>
    <w:rsid w:val="0064028D"/>
    <w:rsid w:val="00640638"/>
    <w:rsid w:val="0064387C"/>
    <w:rsid w:val="00656476"/>
    <w:rsid w:val="00657EC8"/>
    <w:rsid w:val="00663A1A"/>
    <w:rsid w:val="006815A5"/>
    <w:rsid w:val="00695F66"/>
    <w:rsid w:val="006977CC"/>
    <w:rsid w:val="006B2D8B"/>
    <w:rsid w:val="006B35DD"/>
    <w:rsid w:val="006B5E92"/>
    <w:rsid w:val="006C2131"/>
    <w:rsid w:val="006C5676"/>
    <w:rsid w:val="006C60CA"/>
    <w:rsid w:val="006C7069"/>
    <w:rsid w:val="006C778B"/>
    <w:rsid w:val="006D1994"/>
    <w:rsid w:val="006E4E27"/>
    <w:rsid w:val="006F6EA4"/>
    <w:rsid w:val="00703E40"/>
    <w:rsid w:val="00704886"/>
    <w:rsid w:val="00720F2B"/>
    <w:rsid w:val="00727F85"/>
    <w:rsid w:val="007347D4"/>
    <w:rsid w:val="00746130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93FA5"/>
    <w:rsid w:val="007A041B"/>
    <w:rsid w:val="007B185B"/>
    <w:rsid w:val="007B1FB4"/>
    <w:rsid w:val="007B2C32"/>
    <w:rsid w:val="007B515E"/>
    <w:rsid w:val="007B5CF8"/>
    <w:rsid w:val="007B6E4A"/>
    <w:rsid w:val="007C3A10"/>
    <w:rsid w:val="007D2A36"/>
    <w:rsid w:val="007E0599"/>
    <w:rsid w:val="007E0D0E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45949"/>
    <w:rsid w:val="0085153F"/>
    <w:rsid w:val="00854482"/>
    <w:rsid w:val="0085462F"/>
    <w:rsid w:val="00862594"/>
    <w:rsid w:val="0087029C"/>
    <w:rsid w:val="00873281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C083D"/>
    <w:rsid w:val="008F1C24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196B"/>
    <w:rsid w:val="00A05C2D"/>
    <w:rsid w:val="00A131B2"/>
    <w:rsid w:val="00A14FEA"/>
    <w:rsid w:val="00A24586"/>
    <w:rsid w:val="00A2502A"/>
    <w:rsid w:val="00A2514A"/>
    <w:rsid w:val="00A30D12"/>
    <w:rsid w:val="00A3441A"/>
    <w:rsid w:val="00A354B3"/>
    <w:rsid w:val="00A404C0"/>
    <w:rsid w:val="00A4488B"/>
    <w:rsid w:val="00A51E47"/>
    <w:rsid w:val="00A53D5A"/>
    <w:rsid w:val="00A61746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62C"/>
    <w:rsid w:val="00B42F58"/>
    <w:rsid w:val="00B44FF9"/>
    <w:rsid w:val="00B47154"/>
    <w:rsid w:val="00B50BAC"/>
    <w:rsid w:val="00B52E90"/>
    <w:rsid w:val="00B55E28"/>
    <w:rsid w:val="00B6354C"/>
    <w:rsid w:val="00B703CE"/>
    <w:rsid w:val="00BA71ED"/>
    <w:rsid w:val="00BB6F08"/>
    <w:rsid w:val="00BC2944"/>
    <w:rsid w:val="00BD017F"/>
    <w:rsid w:val="00BD4577"/>
    <w:rsid w:val="00BE346B"/>
    <w:rsid w:val="00BF08BD"/>
    <w:rsid w:val="00BF17EC"/>
    <w:rsid w:val="00BF4B26"/>
    <w:rsid w:val="00BF57DC"/>
    <w:rsid w:val="00C12418"/>
    <w:rsid w:val="00C2183A"/>
    <w:rsid w:val="00C263B0"/>
    <w:rsid w:val="00C31A8A"/>
    <w:rsid w:val="00C3441B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50BE"/>
    <w:rsid w:val="00CE6CFB"/>
    <w:rsid w:val="00D00807"/>
    <w:rsid w:val="00D0311E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91A1F"/>
    <w:rsid w:val="00DA3F99"/>
    <w:rsid w:val="00DB009E"/>
    <w:rsid w:val="00DB437C"/>
    <w:rsid w:val="00DB450E"/>
    <w:rsid w:val="00DB709B"/>
    <w:rsid w:val="00DC5B83"/>
    <w:rsid w:val="00DD1D77"/>
    <w:rsid w:val="00DD6932"/>
    <w:rsid w:val="00DE3E0F"/>
    <w:rsid w:val="00DF148B"/>
    <w:rsid w:val="00E11BB2"/>
    <w:rsid w:val="00E166B5"/>
    <w:rsid w:val="00E177D8"/>
    <w:rsid w:val="00E2148C"/>
    <w:rsid w:val="00E27D11"/>
    <w:rsid w:val="00E33DAC"/>
    <w:rsid w:val="00E35E2D"/>
    <w:rsid w:val="00E36870"/>
    <w:rsid w:val="00E41AE4"/>
    <w:rsid w:val="00E44D18"/>
    <w:rsid w:val="00E455CC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56AD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BDB"/>
    <w:rsid w:val="00F848EA"/>
    <w:rsid w:val="00F90DB4"/>
    <w:rsid w:val="00FB3233"/>
    <w:rsid w:val="00FB6942"/>
    <w:rsid w:val="00FC08F5"/>
    <w:rsid w:val="00FC2092"/>
    <w:rsid w:val="00FC4575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38590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3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E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E1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2963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963E1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2963E1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D9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D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2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457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e.qub.ac.uk/portal/en/persons/lorraine-martin(60b109e2-c34a-47f6-8ec7-7eda01dbdb20)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martin@qub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re.qub.ac.uk/en/persons/lorraine-martin" TargetMode="External"/><Relationship Id="rId10" Type="http://schemas.openxmlformats.org/officeDocument/2006/relationships/hyperlink" Target="http://www.qub.ac.uk/schools/SchoolofPharmacy/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b.ac.uk/schools/SchoolofPharmacy/Research/PostgraduatePos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Lorraine Martin</cp:lastModifiedBy>
  <cp:revision>2</cp:revision>
  <dcterms:created xsi:type="dcterms:W3CDTF">2021-12-02T13:31:00Z</dcterms:created>
  <dcterms:modified xsi:type="dcterms:W3CDTF">2021-12-02T13:31:00Z</dcterms:modified>
</cp:coreProperties>
</file>