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08E5" w14:textId="0C6DC490" w:rsidR="001976E1" w:rsidRDefault="00495498" w:rsidP="00495498">
      <w:r>
        <w:rPr>
          <w:noProof/>
          <w:lang w:eastAsia="en-GB"/>
        </w:rPr>
        <w:drawing>
          <wp:inline distT="0" distB="0" distL="0" distR="0" wp14:anchorId="6A1A9111" wp14:editId="55D7596C">
            <wp:extent cx="3962400" cy="14295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QUB Logo.jpg"/>
                    <pic:cNvPicPr/>
                  </pic:nvPicPr>
                  <pic:blipFill>
                    <a:blip r:embed="rId5">
                      <a:extLst>
                        <a:ext uri="{28A0092B-C50C-407E-A947-70E740481C1C}">
                          <a14:useLocalDpi xmlns:a14="http://schemas.microsoft.com/office/drawing/2010/main" val="0"/>
                        </a:ext>
                      </a:extLst>
                    </a:blip>
                    <a:stretch>
                      <a:fillRect/>
                    </a:stretch>
                  </pic:blipFill>
                  <pic:spPr>
                    <a:xfrm>
                      <a:off x="0" y="0"/>
                      <a:ext cx="3962400" cy="1429512"/>
                    </a:xfrm>
                    <a:prstGeom prst="rect">
                      <a:avLst/>
                    </a:prstGeom>
                  </pic:spPr>
                </pic:pic>
              </a:graphicData>
            </a:graphic>
          </wp:inline>
        </w:drawing>
      </w:r>
      <w:r w:rsidR="00695F66">
        <w:t xml:space="preserve"> </w:t>
      </w:r>
    </w:p>
    <w:tbl>
      <w:tblPr>
        <w:tblStyle w:val="TableGrid"/>
        <w:tblW w:w="9242" w:type="dxa"/>
        <w:tblLook w:val="04A0" w:firstRow="1" w:lastRow="0" w:firstColumn="1" w:lastColumn="0" w:noHBand="0" w:noVBand="1"/>
      </w:tblPr>
      <w:tblGrid>
        <w:gridCol w:w="1522"/>
        <w:gridCol w:w="7789"/>
      </w:tblGrid>
      <w:tr w:rsidR="007F3CD9" w:rsidRPr="001D5159" w14:paraId="139BB1E1" w14:textId="77777777" w:rsidTr="00873281">
        <w:trPr>
          <w:trHeight w:val="470"/>
        </w:trPr>
        <w:tc>
          <w:tcPr>
            <w:tcW w:w="1512" w:type="dxa"/>
            <w:shd w:val="clear" w:color="auto" w:fill="DEEAF6" w:themeFill="accent1" w:themeFillTint="33"/>
          </w:tcPr>
          <w:p w14:paraId="50D7F92E"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Title of studentship</w:t>
            </w:r>
          </w:p>
        </w:tc>
        <w:tc>
          <w:tcPr>
            <w:tcW w:w="7730" w:type="dxa"/>
          </w:tcPr>
          <w:p w14:paraId="087F3833" w14:textId="3592B3D2" w:rsidR="007F3CD9" w:rsidRPr="001D5159" w:rsidRDefault="009B4CD7" w:rsidP="0066316A">
            <w:pPr>
              <w:rPr>
                <w:rFonts w:ascii="Calibri" w:hAnsi="Calibri"/>
              </w:rPr>
            </w:pPr>
            <w:r>
              <w:rPr>
                <w:rFonts w:ascii="Calibri" w:hAnsi="Calibri"/>
              </w:rPr>
              <w:t xml:space="preserve">Development of a </w:t>
            </w:r>
            <w:r w:rsidR="00451B61">
              <w:rPr>
                <w:rFonts w:ascii="Calibri" w:hAnsi="Calibri"/>
              </w:rPr>
              <w:t>non-viral delivery system for targeted delivery of nucleic acid therapies across the blood brain barrier</w:t>
            </w:r>
            <w:r>
              <w:rPr>
                <w:rFonts w:ascii="Calibri" w:hAnsi="Calibri"/>
              </w:rPr>
              <w:t xml:space="preserve"> </w:t>
            </w:r>
          </w:p>
        </w:tc>
      </w:tr>
      <w:tr w:rsidR="007F3CD9" w:rsidRPr="001D5159" w14:paraId="5693CC34" w14:textId="77777777" w:rsidTr="00873281">
        <w:trPr>
          <w:trHeight w:val="444"/>
        </w:trPr>
        <w:tc>
          <w:tcPr>
            <w:tcW w:w="1512" w:type="dxa"/>
            <w:shd w:val="clear" w:color="auto" w:fill="DEEAF6" w:themeFill="accent1" w:themeFillTint="33"/>
          </w:tcPr>
          <w:p w14:paraId="5703C4CD" w14:textId="77777777" w:rsidR="007F3CD9" w:rsidRPr="001D5159" w:rsidRDefault="007F3CD9">
            <w:pPr>
              <w:rPr>
                <w:rFonts w:ascii="Calibri" w:hAnsi="Calibri"/>
                <w:b/>
              </w:rPr>
            </w:pPr>
            <w:r w:rsidRPr="001D5159">
              <w:rPr>
                <w:rFonts w:ascii="Calibri" w:hAnsi="Calibri"/>
                <w:b/>
              </w:rPr>
              <w:t>Value</w:t>
            </w:r>
            <w:r w:rsidR="000F380D" w:rsidRPr="001D5159">
              <w:rPr>
                <w:rFonts w:ascii="Calibri" w:hAnsi="Calibri"/>
                <w:b/>
              </w:rPr>
              <w:t xml:space="preserve"> / what is covered? </w:t>
            </w:r>
          </w:p>
        </w:tc>
        <w:tc>
          <w:tcPr>
            <w:tcW w:w="7730" w:type="dxa"/>
          </w:tcPr>
          <w:p w14:paraId="2EF0AEF4" w14:textId="20955E9E" w:rsidR="00C653A1" w:rsidRPr="00C653A1" w:rsidRDefault="00C653A1" w:rsidP="00C653A1">
            <w:pPr>
              <w:rPr>
                <w:rFonts w:ascii="Calibri" w:hAnsi="Calibri"/>
              </w:rPr>
            </w:pPr>
            <w:r w:rsidRPr="00C653A1">
              <w:rPr>
                <w:rFonts w:ascii="Calibri" w:hAnsi="Calibri"/>
              </w:rPr>
              <w:t>100% of UK/</w:t>
            </w:r>
            <w:r>
              <w:rPr>
                <w:rFonts w:ascii="Calibri" w:hAnsi="Calibri"/>
              </w:rPr>
              <w:t>ROI</w:t>
            </w:r>
            <w:r w:rsidRPr="00C653A1">
              <w:rPr>
                <w:rFonts w:ascii="Calibri" w:hAnsi="Calibri"/>
              </w:rPr>
              <w:t xml:space="preserve"> tuition fees paid and an annual stipend for UK</w:t>
            </w:r>
            <w:r>
              <w:rPr>
                <w:rFonts w:ascii="Calibri" w:hAnsi="Calibri"/>
              </w:rPr>
              <w:t>/ROI</w:t>
            </w:r>
            <w:r w:rsidRPr="00C653A1">
              <w:rPr>
                <w:rFonts w:ascii="Calibri" w:hAnsi="Calibri"/>
              </w:rPr>
              <w:t xml:space="preserve"> residents only (living expenses), currently at </w:t>
            </w:r>
            <w:r>
              <w:rPr>
                <w:rFonts w:ascii="Calibri" w:hAnsi="Calibri"/>
              </w:rPr>
              <w:t>~£15,</w:t>
            </w:r>
            <w:r w:rsidR="00D1184B">
              <w:rPr>
                <w:rFonts w:ascii="Calibri" w:hAnsi="Calibri"/>
              </w:rPr>
              <w:t>5</w:t>
            </w:r>
            <w:r>
              <w:rPr>
                <w:rFonts w:ascii="Calibri" w:hAnsi="Calibri"/>
              </w:rPr>
              <w:t>00 per annum.</w:t>
            </w:r>
            <w:r w:rsidR="00451B61">
              <w:rPr>
                <w:rFonts w:ascii="Calibri" w:hAnsi="Calibri"/>
              </w:rPr>
              <w:t xml:space="preserve"> All consumables costs will also be provided. </w:t>
            </w:r>
          </w:p>
          <w:p w14:paraId="4D692A97" w14:textId="33F8A0DA" w:rsidR="007C3A10" w:rsidRPr="001D5159" w:rsidRDefault="007C3A10" w:rsidP="00FB1B0D">
            <w:pPr>
              <w:rPr>
                <w:rFonts w:ascii="Calibri" w:hAnsi="Calibri"/>
              </w:rPr>
            </w:pPr>
          </w:p>
        </w:tc>
      </w:tr>
      <w:tr w:rsidR="007F3CD9" w:rsidRPr="001D5159" w14:paraId="7BE5D50C" w14:textId="77777777" w:rsidTr="00873281">
        <w:trPr>
          <w:trHeight w:val="470"/>
        </w:trPr>
        <w:tc>
          <w:tcPr>
            <w:tcW w:w="1512" w:type="dxa"/>
            <w:shd w:val="clear" w:color="auto" w:fill="DEEAF6" w:themeFill="accent1" w:themeFillTint="33"/>
          </w:tcPr>
          <w:p w14:paraId="7F0DCF90" w14:textId="77777777" w:rsidR="007F3CD9" w:rsidRPr="001D5159" w:rsidRDefault="007F3CD9">
            <w:pPr>
              <w:rPr>
                <w:rFonts w:ascii="Calibri" w:hAnsi="Calibri"/>
                <w:b/>
              </w:rPr>
            </w:pPr>
            <w:r w:rsidRPr="001D5159">
              <w:rPr>
                <w:rFonts w:ascii="Calibri" w:hAnsi="Calibri"/>
                <w:b/>
              </w:rPr>
              <w:t>Awarding body</w:t>
            </w:r>
          </w:p>
        </w:tc>
        <w:tc>
          <w:tcPr>
            <w:tcW w:w="7730" w:type="dxa"/>
          </w:tcPr>
          <w:p w14:paraId="4FE0BE00" w14:textId="73E7A03F" w:rsidR="007F3CD9" w:rsidRPr="001D5159" w:rsidRDefault="00C653A1">
            <w:pPr>
              <w:rPr>
                <w:rFonts w:ascii="Calibri" w:hAnsi="Calibri"/>
              </w:rPr>
            </w:pPr>
            <w:proofErr w:type="spellStart"/>
            <w:r>
              <w:rPr>
                <w:rFonts w:ascii="Calibri" w:hAnsi="Calibri"/>
              </w:rPr>
              <w:t>pHion</w:t>
            </w:r>
            <w:proofErr w:type="spellEnd"/>
            <w:r>
              <w:rPr>
                <w:rFonts w:ascii="Calibri" w:hAnsi="Calibri"/>
              </w:rPr>
              <w:t xml:space="preserve"> Therapeutics</w:t>
            </w:r>
          </w:p>
        </w:tc>
      </w:tr>
      <w:tr w:rsidR="007F3CD9" w:rsidRPr="001D5159" w14:paraId="0FD83558" w14:textId="77777777" w:rsidTr="001D5159">
        <w:trPr>
          <w:trHeight w:val="557"/>
        </w:trPr>
        <w:tc>
          <w:tcPr>
            <w:tcW w:w="1512" w:type="dxa"/>
            <w:shd w:val="clear" w:color="auto" w:fill="DEEAF6" w:themeFill="accent1" w:themeFillTint="33"/>
          </w:tcPr>
          <w:p w14:paraId="3B2B1F67" w14:textId="77777777" w:rsidR="007F3CD9" w:rsidRPr="001D5159" w:rsidRDefault="007F3CD9">
            <w:pPr>
              <w:rPr>
                <w:rFonts w:ascii="Calibri" w:hAnsi="Calibri"/>
                <w:b/>
              </w:rPr>
            </w:pPr>
            <w:r w:rsidRPr="001D5159">
              <w:rPr>
                <w:rFonts w:ascii="Calibri" w:hAnsi="Calibri"/>
                <w:b/>
              </w:rPr>
              <w:t>Number of studentships</w:t>
            </w:r>
          </w:p>
        </w:tc>
        <w:tc>
          <w:tcPr>
            <w:tcW w:w="7730" w:type="dxa"/>
          </w:tcPr>
          <w:p w14:paraId="00607795" w14:textId="77777777" w:rsidR="007F3CD9" w:rsidRPr="001D5159" w:rsidRDefault="007C3A10">
            <w:pPr>
              <w:rPr>
                <w:rFonts w:ascii="Calibri" w:hAnsi="Calibri"/>
              </w:rPr>
            </w:pPr>
            <w:r w:rsidRPr="001D5159">
              <w:rPr>
                <w:rFonts w:ascii="Calibri" w:hAnsi="Calibri"/>
              </w:rPr>
              <w:t>1</w:t>
            </w:r>
          </w:p>
        </w:tc>
      </w:tr>
      <w:tr w:rsidR="007F3CD9" w:rsidRPr="001D5159" w14:paraId="7D945C08" w14:textId="77777777" w:rsidTr="00873281">
        <w:trPr>
          <w:trHeight w:val="1412"/>
        </w:trPr>
        <w:tc>
          <w:tcPr>
            <w:tcW w:w="1512" w:type="dxa"/>
            <w:shd w:val="clear" w:color="auto" w:fill="DEEAF6" w:themeFill="accent1" w:themeFillTint="33"/>
          </w:tcPr>
          <w:p w14:paraId="74833CDF"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Summary </w:t>
            </w:r>
            <w:r w:rsidR="00270CA4" w:rsidRPr="001D5159">
              <w:rPr>
                <w:rFonts w:ascii="Calibri" w:hAnsi="Calibri"/>
                <w:b/>
              </w:rPr>
              <w:t xml:space="preserve">descriptive </w:t>
            </w:r>
            <w:r w:rsidR="007F3CD9" w:rsidRPr="001D5159">
              <w:rPr>
                <w:rFonts w:ascii="Calibri" w:hAnsi="Calibri"/>
                <w:b/>
              </w:rPr>
              <w:t>text</w:t>
            </w:r>
            <w:r w:rsidR="00270CA4" w:rsidRPr="001D5159">
              <w:rPr>
                <w:rFonts w:ascii="Calibri" w:hAnsi="Calibri"/>
                <w:b/>
              </w:rPr>
              <w:t xml:space="preserve"> / Example of research project </w:t>
            </w:r>
          </w:p>
        </w:tc>
        <w:tc>
          <w:tcPr>
            <w:tcW w:w="7730" w:type="dxa"/>
          </w:tcPr>
          <w:p w14:paraId="42CCCC57" w14:textId="2EC7B078" w:rsidR="00451B61" w:rsidRDefault="009B4CD7" w:rsidP="00451B61">
            <w:pPr>
              <w:jc w:val="both"/>
              <w:rPr>
                <w:rFonts w:cstheme="minorHAnsi"/>
                <w:lang w:val="en-US"/>
              </w:rPr>
            </w:pPr>
            <w:r w:rsidRPr="00AB1FFD">
              <w:rPr>
                <w:rFonts w:cstheme="minorHAnsi"/>
                <w:lang w:val="en-US"/>
              </w:rPr>
              <w:t>T</w:t>
            </w:r>
            <w:r w:rsidR="00451B61">
              <w:rPr>
                <w:rFonts w:cstheme="minorHAnsi"/>
                <w:lang w:val="en-US"/>
              </w:rPr>
              <w:t xml:space="preserve">he blood brain barrier (BBB) is designed to protect the central nervous system from infection and regulate the microenvironment of the brain. However, the brain has a high demand for energy and nutrients. Therefore, multiple mechanisms exist to mediate the uptake of endogenous substances. Such substances may cross the BBB by passive diffusion in a non-energy dependent manner or via energy dependent processes which can include receptor-mediated transport and adsorptive-mediated transcytosis. Additionally, numerous viral infections are known to cross the BBB, one of which is SARS-CoV-2. </w:t>
            </w:r>
          </w:p>
          <w:p w14:paraId="237A5747" w14:textId="77777777" w:rsidR="00451B61" w:rsidRDefault="00451B61" w:rsidP="00451B61">
            <w:pPr>
              <w:jc w:val="both"/>
              <w:rPr>
                <w:rFonts w:cstheme="minorHAnsi"/>
                <w:lang w:val="en-US"/>
              </w:rPr>
            </w:pPr>
          </w:p>
          <w:p w14:paraId="4FBBB4CC" w14:textId="77777777" w:rsidR="00451B61" w:rsidRDefault="00451B61" w:rsidP="009B4CD7">
            <w:pPr>
              <w:jc w:val="both"/>
              <w:rPr>
                <w:rFonts w:cstheme="minorHAnsi"/>
                <w:lang w:val="en-US"/>
              </w:rPr>
            </w:pPr>
            <w:r>
              <w:rPr>
                <w:rFonts w:cstheme="minorHAnsi"/>
                <w:lang w:val="en-US"/>
              </w:rPr>
              <w:t xml:space="preserve">These transport systems can be exploited to design new and exciting drug delivery technologies that can carry nucleic acid therapeutics (mRNA, ASO, DNA, </w:t>
            </w:r>
            <w:proofErr w:type="spellStart"/>
            <w:r>
              <w:rPr>
                <w:rFonts w:cstheme="minorHAnsi"/>
                <w:lang w:val="en-US"/>
              </w:rPr>
              <w:t>miRs</w:t>
            </w:r>
            <w:proofErr w:type="spellEnd"/>
            <w:r>
              <w:rPr>
                <w:rFonts w:cstheme="minorHAnsi"/>
                <w:lang w:val="en-US"/>
              </w:rPr>
              <w:t>). The goal of this PhD is to design and develop a state-of-the-art non-viral delivery system that is based upon natural amino acids to cross the BBB. There is an unmet need to develop targeted delivery systems especially for the repeated application of gene therapeutics.</w:t>
            </w:r>
          </w:p>
          <w:p w14:paraId="09AECAC7" w14:textId="77777777" w:rsidR="00451B61" w:rsidRDefault="00451B61" w:rsidP="009B4CD7">
            <w:pPr>
              <w:jc w:val="both"/>
              <w:rPr>
                <w:rFonts w:cstheme="minorHAnsi"/>
              </w:rPr>
            </w:pPr>
          </w:p>
          <w:p w14:paraId="4AD28A6A" w14:textId="2FE6EF40" w:rsidR="009B4CD7" w:rsidRPr="00451B61" w:rsidRDefault="009B4CD7" w:rsidP="00451B61">
            <w:pPr>
              <w:jc w:val="both"/>
              <w:rPr>
                <w:rFonts w:cstheme="minorHAnsi"/>
              </w:rPr>
            </w:pPr>
            <w:r w:rsidRPr="00AB1FFD">
              <w:rPr>
                <w:rFonts w:cstheme="minorHAnsi"/>
              </w:rPr>
              <w:t xml:space="preserve">This project is </w:t>
            </w:r>
            <w:r>
              <w:rPr>
                <w:rFonts w:cstheme="minorHAnsi"/>
              </w:rPr>
              <w:t xml:space="preserve">sponsored by industry </w:t>
            </w:r>
            <w:r w:rsidR="00E9442A">
              <w:rPr>
                <w:rFonts w:cstheme="minorHAnsi"/>
              </w:rPr>
              <w:t>with the goal of</w:t>
            </w:r>
            <w:r>
              <w:rPr>
                <w:rFonts w:cstheme="minorHAnsi"/>
              </w:rPr>
              <w:t xml:space="preserve"> develop</w:t>
            </w:r>
            <w:r w:rsidR="00E9442A">
              <w:rPr>
                <w:rFonts w:cstheme="minorHAnsi"/>
              </w:rPr>
              <w:t>ing</w:t>
            </w:r>
            <w:r>
              <w:rPr>
                <w:rFonts w:cstheme="minorHAnsi"/>
              </w:rPr>
              <w:t xml:space="preserve"> a </w:t>
            </w:r>
            <w:r w:rsidR="00451B61">
              <w:rPr>
                <w:rFonts w:cstheme="minorHAnsi"/>
              </w:rPr>
              <w:t xml:space="preserve">delivery platform for nanotherapeutics. </w:t>
            </w:r>
            <w:r w:rsidRPr="00A346CC">
              <w:t xml:space="preserve">This projects forms part of an exciting collaborative partnership between </w:t>
            </w:r>
            <w:r>
              <w:t xml:space="preserve">Professor McCarthy, a nucleic acids drug delivery expert and CEO of </w:t>
            </w:r>
            <w:proofErr w:type="spellStart"/>
            <w:r>
              <w:t>Phion</w:t>
            </w:r>
            <w:proofErr w:type="spellEnd"/>
            <w:r>
              <w:t xml:space="preserve"> Therapeutics and </w:t>
            </w:r>
            <w:r w:rsidR="00451B61">
              <w:t xml:space="preserve">Prof Nicholas Dunne, a materials engineer and expert in polymeric systems from Dublin City University. </w:t>
            </w:r>
            <w:r w:rsidRPr="00A346CC">
              <w:t xml:space="preserve">The student will benefit from training in both an academic and industry setting including </w:t>
            </w:r>
            <w:r w:rsidR="00C653A1">
              <w:t>training and placements</w:t>
            </w:r>
            <w:r>
              <w:t xml:space="preserve"> in </w:t>
            </w:r>
            <w:proofErr w:type="spellStart"/>
            <w:r w:rsidR="00C653A1">
              <w:t>pH</w:t>
            </w:r>
            <w:r>
              <w:t>ion</w:t>
            </w:r>
            <w:proofErr w:type="spellEnd"/>
            <w:r>
              <w:t xml:space="preserve"> Therapeutics. </w:t>
            </w:r>
            <w:r w:rsidRPr="00A346CC">
              <w:t>The project workplan encompasses a broad range of molecular biology, physiochemical</w:t>
            </w:r>
            <w:r w:rsidR="00451B61">
              <w:t>, material testing, in vitro</w:t>
            </w:r>
            <w:r w:rsidRPr="00A346CC">
              <w:t xml:space="preserve"> and in vivo techniques providing the student with an excellent training environment and key transferable skills for future development.</w:t>
            </w:r>
          </w:p>
          <w:p w14:paraId="69C31F4A" w14:textId="09FD85F6" w:rsidR="00257E72" w:rsidRPr="001D5159" w:rsidRDefault="00257E72" w:rsidP="003125A1">
            <w:pPr>
              <w:jc w:val="both"/>
              <w:rPr>
                <w:rFonts w:ascii="Calibri" w:hAnsi="Calibri"/>
                <w:lang w:val="en-US"/>
              </w:rPr>
            </w:pPr>
          </w:p>
        </w:tc>
      </w:tr>
      <w:tr w:rsidR="00695F66" w:rsidRPr="001D5159" w14:paraId="4E56534D" w14:textId="77777777" w:rsidTr="00873281">
        <w:trPr>
          <w:trHeight w:val="625"/>
        </w:trPr>
        <w:tc>
          <w:tcPr>
            <w:tcW w:w="1512" w:type="dxa"/>
            <w:shd w:val="clear" w:color="auto" w:fill="DEEAF6" w:themeFill="accent1" w:themeFillTint="33"/>
          </w:tcPr>
          <w:p w14:paraId="3F9B8C4D" w14:textId="77777777" w:rsidR="00695F66" w:rsidRPr="001D5159" w:rsidRDefault="000F6B4D">
            <w:pPr>
              <w:rPr>
                <w:rFonts w:ascii="Calibri" w:hAnsi="Calibri"/>
                <w:b/>
              </w:rPr>
            </w:pPr>
            <w:r w:rsidRPr="001D5159">
              <w:rPr>
                <w:rFonts w:ascii="Calibri" w:hAnsi="Calibri"/>
                <w:b/>
              </w:rPr>
              <w:t>*Supervisor(s)</w:t>
            </w:r>
          </w:p>
        </w:tc>
        <w:tc>
          <w:tcPr>
            <w:tcW w:w="7730" w:type="dxa"/>
          </w:tcPr>
          <w:p w14:paraId="4D62474E" w14:textId="6818E980" w:rsidR="00C653A1" w:rsidRPr="001D5159" w:rsidRDefault="00C653A1" w:rsidP="00BC3878">
            <w:pPr>
              <w:rPr>
                <w:rFonts w:ascii="Calibri" w:hAnsi="Calibri"/>
              </w:rPr>
            </w:pPr>
            <w:r>
              <w:rPr>
                <w:rFonts w:ascii="Calibri" w:hAnsi="Calibri"/>
              </w:rPr>
              <w:t xml:space="preserve">Prof Helen McCarthy (QUB), </w:t>
            </w:r>
            <w:r w:rsidR="00451B61">
              <w:rPr>
                <w:rFonts w:ascii="Calibri" w:hAnsi="Calibri"/>
              </w:rPr>
              <w:t xml:space="preserve">Prof Nicholas Dunne </w:t>
            </w:r>
            <w:r>
              <w:rPr>
                <w:rFonts w:ascii="Calibri" w:hAnsi="Calibri"/>
              </w:rPr>
              <w:t>(</w:t>
            </w:r>
            <w:r w:rsidR="00451B61">
              <w:rPr>
                <w:rFonts w:ascii="Calibri" w:hAnsi="Calibri"/>
              </w:rPr>
              <w:t>DCU</w:t>
            </w:r>
            <w:r>
              <w:rPr>
                <w:rFonts w:ascii="Calibri" w:hAnsi="Calibri"/>
              </w:rPr>
              <w:t xml:space="preserve">) and Dr Monika </w:t>
            </w:r>
            <w:proofErr w:type="spellStart"/>
            <w:r>
              <w:rPr>
                <w:rFonts w:ascii="Calibri" w:hAnsi="Calibri"/>
              </w:rPr>
              <w:t>Ziminska</w:t>
            </w:r>
            <w:proofErr w:type="spellEnd"/>
            <w:r>
              <w:rPr>
                <w:rFonts w:ascii="Calibri" w:hAnsi="Calibri"/>
              </w:rPr>
              <w:t xml:space="preserve"> (</w:t>
            </w:r>
            <w:proofErr w:type="spellStart"/>
            <w:r w:rsidR="00451B61">
              <w:rPr>
                <w:rFonts w:ascii="Calibri" w:hAnsi="Calibri"/>
              </w:rPr>
              <w:t>pHion</w:t>
            </w:r>
            <w:proofErr w:type="spellEnd"/>
            <w:r w:rsidR="00451B61">
              <w:rPr>
                <w:rFonts w:ascii="Calibri" w:hAnsi="Calibri"/>
              </w:rPr>
              <w:t xml:space="preserve"> Therapeutics</w:t>
            </w:r>
            <w:r>
              <w:rPr>
                <w:rFonts w:ascii="Calibri" w:hAnsi="Calibri"/>
              </w:rPr>
              <w:t>)</w:t>
            </w:r>
          </w:p>
        </w:tc>
      </w:tr>
      <w:tr w:rsidR="007F3CD9" w:rsidRPr="001D5159" w14:paraId="4E0B3869" w14:textId="77777777" w:rsidTr="00873281">
        <w:trPr>
          <w:trHeight w:val="630"/>
        </w:trPr>
        <w:tc>
          <w:tcPr>
            <w:tcW w:w="1512" w:type="dxa"/>
            <w:shd w:val="clear" w:color="auto" w:fill="DEEAF6" w:themeFill="accent1" w:themeFillTint="33"/>
          </w:tcPr>
          <w:p w14:paraId="60C69440" w14:textId="77777777" w:rsidR="007F3CD9" w:rsidRPr="001D5159" w:rsidRDefault="00695F66">
            <w:pPr>
              <w:rPr>
                <w:rFonts w:ascii="Calibri" w:hAnsi="Calibri"/>
                <w:b/>
              </w:rPr>
            </w:pPr>
            <w:r w:rsidRPr="001D5159">
              <w:rPr>
                <w:rFonts w:ascii="Calibri" w:hAnsi="Calibri"/>
                <w:b/>
              </w:rPr>
              <w:t>*</w:t>
            </w:r>
            <w:r w:rsidR="001B792D" w:rsidRPr="001D5159">
              <w:rPr>
                <w:rFonts w:ascii="Calibri" w:hAnsi="Calibri"/>
                <w:b/>
              </w:rPr>
              <w:t xml:space="preserve">Eligibility / residence </w:t>
            </w:r>
            <w:r w:rsidR="007F3CD9" w:rsidRPr="001D5159">
              <w:rPr>
                <w:rFonts w:ascii="Calibri" w:hAnsi="Calibri"/>
                <w:b/>
              </w:rPr>
              <w:t>Status</w:t>
            </w:r>
          </w:p>
        </w:tc>
        <w:tc>
          <w:tcPr>
            <w:tcW w:w="7730" w:type="dxa"/>
          </w:tcPr>
          <w:p w14:paraId="3D324EF1" w14:textId="72A49777" w:rsidR="007F3CD9" w:rsidRPr="001D5159" w:rsidRDefault="00C653A1">
            <w:pPr>
              <w:rPr>
                <w:rFonts w:ascii="Calibri" w:hAnsi="Calibri"/>
              </w:rPr>
            </w:pPr>
            <w:r>
              <w:rPr>
                <w:rFonts w:ascii="Calibri" w:hAnsi="Calibri"/>
              </w:rPr>
              <w:t xml:space="preserve">UK/ROI Only </w:t>
            </w:r>
          </w:p>
        </w:tc>
      </w:tr>
      <w:tr w:rsidR="007F3CD9" w:rsidRPr="001D5159" w14:paraId="0ED025C8" w14:textId="77777777" w:rsidTr="008B1ADC">
        <w:trPr>
          <w:trHeight w:val="656"/>
        </w:trPr>
        <w:tc>
          <w:tcPr>
            <w:tcW w:w="1512" w:type="dxa"/>
            <w:shd w:val="clear" w:color="auto" w:fill="DEEAF6" w:themeFill="accent1" w:themeFillTint="33"/>
          </w:tcPr>
          <w:p w14:paraId="1F7FEB37" w14:textId="77777777" w:rsidR="007F3CD9" w:rsidRPr="001D5159" w:rsidRDefault="00695F66">
            <w:pPr>
              <w:rPr>
                <w:rFonts w:ascii="Calibri" w:hAnsi="Calibri"/>
                <w:b/>
              </w:rPr>
            </w:pPr>
            <w:r w:rsidRPr="001D5159">
              <w:rPr>
                <w:rFonts w:ascii="Calibri" w:hAnsi="Calibri"/>
                <w:b/>
              </w:rPr>
              <w:lastRenderedPageBreak/>
              <w:t>Country</w:t>
            </w:r>
          </w:p>
        </w:tc>
        <w:tc>
          <w:tcPr>
            <w:tcW w:w="7730" w:type="dxa"/>
          </w:tcPr>
          <w:p w14:paraId="096F5302" w14:textId="77777777" w:rsidR="007F3CD9" w:rsidRPr="001D5159" w:rsidRDefault="007C3A10">
            <w:pPr>
              <w:rPr>
                <w:rFonts w:ascii="Calibri" w:hAnsi="Calibri"/>
              </w:rPr>
            </w:pPr>
            <w:r w:rsidRPr="001D5159">
              <w:rPr>
                <w:rFonts w:ascii="Calibri" w:hAnsi="Calibri"/>
              </w:rPr>
              <w:t>Northern Ireland</w:t>
            </w:r>
          </w:p>
        </w:tc>
      </w:tr>
      <w:tr w:rsidR="007F3CD9" w:rsidRPr="001D5159" w14:paraId="5A9A4024" w14:textId="77777777" w:rsidTr="00873281">
        <w:trPr>
          <w:trHeight w:val="630"/>
        </w:trPr>
        <w:tc>
          <w:tcPr>
            <w:tcW w:w="1512" w:type="dxa"/>
            <w:shd w:val="clear" w:color="auto" w:fill="DEEAF6" w:themeFill="accent1" w:themeFillTint="33"/>
          </w:tcPr>
          <w:p w14:paraId="62462A05"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 xml:space="preserve">Start date and duration </w:t>
            </w:r>
          </w:p>
        </w:tc>
        <w:tc>
          <w:tcPr>
            <w:tcW w:w="7730" w:type="dxa"/>
          </w:tcPr>
          <w:p w14:paraId="4010ABC3" w14:textId="3EA61A08" w:rsidR="007F3CD9" w:rsidRPr="001D5159" w:rsidRDefault="00C653A1" w:rsidP="00BC3878">
            <w:pPr>
              <w:rPr>
                <w:rFonts w:ascii="Calibri" w:hAnsi="Calibri"/>
              </w:rPr>
            </w:pPr>
            <w:r>
              <w:rPr>
                <w:rFonts w:ascii="Calibri" w:hAnsi="Calibri"/>
              </w:rPr>
              <w:t>September 2022 for 3 years</w:t>
            </w:r>
          </w:p>
        </w:tc>
      </w:tr>
      <w:tr w:rsidR="007F3CD9" w:rsidRPr="001D5159" w14:paraId="28F29B22" w14:textId="77777777" w:rsidTr="00873281">
        <w:trPr>
          <w:trHeight w:val="444"/>
        </w:trPr>
        <w:tc>
          <w:tcPr>
            <w:tcW w:w="1512" w:type="dxa"/>
            <w:shd w:val="clear" w:color="auto" w:fill="DEEAF6" w:themeFill="accent1" w:themeFillTint="33"/>
          </w:tcPr>
          <w:p w14:paraId="6A9B78EC"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Faculty</w:t>
            </w:r>
          </w:p>
        </w:tc>
        <w:tc>
          <w:tcPr>
            <w:tcW w:w="7730" w:type="dxa"/>
          </w:tcPr>
          <w:p w14:paraId="697AD963" w14:textId="77777777" w:rsidR="007F3CD9" w:rsidRPr="001D5159" w:rsidRDefault="007C3A10">
            <w:pPr>
              <w:rPr>
                <w:rFonts w:ascii="Calibri" w:hAnsi="Calibri"/>
              </w:rPr>
            </w:pPr>
            <w:r w:rsidRPr="001D5159">
              <w:rPr>
                <w:rFonts w:ascii="Calibri" w:hAnsi="Calibri"/>
              </w:rPr>
              <w:t>MHLS</w:t>
            </w:r>
          </w:p>
        </w:tc>
      </w:tr>
      <w:tr w:rsidR="007F3CD9" w:rsidRPr="001D5159" w14:paraId="0F4A2020" w14:textId="77777777" w:rsidTr="00873281">
        <w:trPr>
          <w:trHeight w:val="470"/>
        </w:trPr>
        <w:tc>
          <w:tcPr>
            <w:tcW w:w="1512" w:type="dxa"/>
            <w:shd w:val="clear" w:color="auto" w:fill="DEEAF6" w:themeFill="accent1" w:themeFillTint="33"/>
          </w:tcPr>
          <w:p w14:paraId="7E363DF7"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Research centre / School</w:t>
            </w:r>
          </w:p>
        </w:tc>
        <w:tc>
          <w:tcPr>
            <w:tcW w:w="7730" w:type="dxa"/>
          </w:tcPr>
          <w:p w14:paraId="01F42C0A" w14:textId="77777777" w:rsidR="007F3CD9" w:rsidRPr="001D5159" w:rsidRDefault="007C3A10">
            <w:pPr>
              <w:rPr>
                <w:rFonts w:ascii="Calibri" w:hAnsi="Calibri"/>
              </w:rPr>
            </w:pPr>
            <w:r w:rsidRPr="001D5159">
              <w:rPr>
                <w:rFonts w:ascii="Calibri" w:hAnsi="Calibri"/>
              </w:rPr>
              <w:t>Pharmacy</w:t>
            </w:r>
          </w:p>
        </w:tc>
      </w:tr>
      <w:tr w:rsidR="001B792D" w:rsidRPr="001D5159" w14:paraId="2B55D6E4" w14:textId="77777777" w:rsidTr="00873281">
        <w:trPr>
          <w:trHeight w:val="470"/>
        </w:trPr>
        <w:tc>
          <w:tcPr>
            <w:tcW w:w="1512" w:type="dxa"/>
            <w:shd w:val="clear" w:color="auto" w:fill="DEEAF6" w:themeFill="accent1" w:themeFillTint="33"/>
          </w:tcPr>
          <w:p w14:paraId="29BF30B7" w14:textId="77777777" w:rsidR="001B792D" w:rsidRPr="001D5159" w:rsidRDefault="001B792D">
            <w:pPr>
              <w:rPr>
                <w:rFonts w:ascii="Calibri" w:hAnsi="Calibri"/>
                <w:b/>
              </w:rPr>
            </w:pPr>
            <w:r w:rsidRPr="001D5159">
              <w:rPr>
                <w:rFonts w:ascii="Calibri" w:hAnsi="Calibri"/>
                <w:b/>
              </w:rPr>
              <w:t>Subject area</w:t>
            </w:r>
          </w:p>
        </w:tc>
        <w:tc>
          <w:tcPr>
            <w:tcW w:w="7730" w:type="dxa"/>
          </w:tcPr>
          <w:p w14:paraId="26BC92BB" w14:textId="48167B73" w:rsidR="001B792D" w:rsidRPr="001D5159" w:rsidRDefault="00C653A1">
            <w:pPr>
              <w:rPr>
                <w:rFonts w:ascii="Calibri" w:hAnsi="Calibri"/>
              </w:rPr>
            </w:pPr>
            <w:r>
              <w:rPr>
                <w:rFonts w:ascii="Calibri" w:hAnsi="Calibri"/>
              </w:rPr>
              <w:t xml:space="preserve">Nanomedicine, </w:t>
            </w:r>
            <w:r w:rsidR="00451B61">
              <w:rPr>
                <w:rFonts w:ascii="Calibri" w:hAnsi="Calibri"/>
              </w:rPr>
              <w:t xml:space="preserve">Gene Therapy, Materials, Non-viral, Delivery, </w:t>
            </w:r>
            <w:r>
              <w:rPr>
                <w:rFonts w:ascii="Calibri" w:hAnsi="Calibri"/>
              </w:rPr>
              <w:t>Biotherapeutics</w:t>
            </w:r>
          </w:p>
        </w:tc>
      </w:tr>
      <w:tr w:rsidR="007F3CD9" w:rsidRPr="001D5159" w14:paraId="37F2D25C" w14:textId="77777777" w:rsidTr="00873281">
        <w:trPr>
          <w:trHeight w:val="444"/>
        </w:trPr>
        <w:tc>
          <w:tcPr>
            <w:tcW w:w="1512" w:type="dxa"/>
            <w:shd w:val="clear" w:color="auto" w:fill="DEEAF6" w:themeFill="accent1" w:themeFillTint="33"/>
          </w:tcPr>
          <w:p w14:paraId="1721C332" w14:textId="77777777" w:rsidR="007F3CD9" w:rsidRPr="001D5159" w:rsidRDefault="001B792D">
            <w:pPr>
              <w:rPr>
                <w:rFonts w:ascii="Calibri" w:hAnsi="Calibri"/>
                <w:b/>
              </w:rPr>
            </w:pPr>
            <w:r w:rsidRPr="001D5159">
              <w:rPr>
                <w:rFonts w:ascii="Calibri" w:hAnsi="Calibri"/>
                <w:b/>
              </w:rPr>
              <w:t>Candidate requirements / K</w:t>
            </w:r>
            <w:r w:rsidR="00695F66" w:rsidRPr="001D5159">
              <w:rPr>
                <w:rFonts w:ascii="Calibri" w:hAnsi="Calibri"/>
                <w:b/>
              </w:rPr>
              <w:t xml:space="preserve">ey skills required for the post </w:t>
            </w:r>
          </w:p>
          <w:p w14:paraId="054A0AE4" w14:textId="77777777" w:rsidR="00695F66" w:rsidRPr="001D5159" w:rsidRDefault="00695F66">
            <w:pPr>
              <w:rPr>
                <w:rFonts w:ascii="Calibri" w:hAnsi="Calibri"/>
                <w:b/>
              </w:rPr>
            </w:pPr>
          </w:p>
        </w:tc>
        <w:tc>
          <w:tcPr>
            <w:tcW w:w="7730" w:type="dxa"/>
          </w:tcPr>
          <w:p w14:paraId="0B0D5859" w14:textId="77777777" w:rsidR="007F3CD9" w:rsidRDefault="007C3A10">
            <w:pPr>
              <w:rPr>
                <w:rFonts w:ascii="Calibri" w:hAnsi="Calibri" w:cs="Arial"/>
              </w:rPr>
            </w:pPr>
            <w:r w:rsidRPr="001D5159">
              <w:rPr>
                <w:rFonts w:ascii="Calibri" w:hAnsi="Calibri" w:cs="Arial"/>
              </w:rPr>
              <w:t xml:space="preserve">Applicants should have a 1st or 2.1 honours degree (or equivalent) in a relevant subject. Relevant subjects include </w:t>
            </w:r>
            <w:r w:rsidR="00090D75" w:rsidRPr="001D5159">
              <w:rPr>
                <w:rFonts w:ascii="Calibri" w:hAnsi="Calibri" w:cs="Arial"/>
              </w:rPr>
              <w:t>Pharmacy</w:t>
            </w:r>
            <w:r w:rsidR="00090D75">
              <w:rPr>
                <w:rFonts w:ascii="Calibri" w:hAnsi="Calibri" w:cs="Arial"/>
              </w:rPr>
              <w:t>, Pharmaceutical</w:t>
            </w:r>
            <w:r w:rsidRPr="001D5159">
              <w:rPr>
                <w:rFonts w:ascii="Calibri" w:hAnsi="Calibri" w:cs="Arial"/>
              </w:rPr>
              <w:t xml:space="preserve"> Sciences, Biochemistry, Biological/Biomedical Sciences,</w:t>
            </w:r>
            <w:r w:rsidR="002F06D8" w:rsidRPr="001D5159">
              <w:rPr>
                <w:rFonts w:ascii="Calibri" w:hAnsi="Calibri" w:cs="Arial"/>
              </w:rPr>
              <w:t xml:space="preserve"> </w:t>
            </w:r>
            <w:r w:rsidRPr="001D5159">
              <w:rPr>
                <w:rFonts w:ascii="Calibri" w:hAnsi="Calibri" w:cs="Arial"/>
              </w:rPr>
              <w:t>Chemistry, Engineering</w:t>
            </w:r>
            <w:r w:rsidR="00E41AE4" w:rsidRPr="001D5159">
              <w:rPr>
                <w:rFonts w:ascii="Calibri" w:hAnsi="Calibri" w:cs="Arial"/>
              </w:rPr>
              <w:t xml:space="preserve">, or </w:t>
            </w:r>
            <w:r w:rsidRPr="001D5159">
              <w:rPr>
                <w:rFonts w:ascii="Calibri" w:hAnsi="Calibri" w:cs="Arial"/>
              </w:rPr>
              <w:t xml:space="preserve">a closely related discipline. Students who have a 2.2 honours degree and a </w:t>
            </w:r>
            <w:proofErr w:type="gramStart"/>
            <w:r w:rsidRPr="001D5159">
              <w:rPr>
                <w:rFonts w:ascii="Calibri" w:hAnsi="Calibri" w:cs="Arial"/>
              </w:rPr>
              <w:t>Master’s</w:t>
            </w:r>
            <w:proofErr w:type="gramEnd"/>
            <w:r w:rsidRPr="001D5159">
              <w:rPr>
                <w:rFonts w:ascii="Calibri" w:hAnsi="Calibri" w:cs="Arial"/>
              </w:rPr>
              <w:t xml:space="preserve"> degree may also be considered, but the School reserves the right to shortlist for interview only those applicants who have demonstrated high academic attainment to date</w:t>
            </w:r>
            <w:r w:rsidR="007523AE">
              <w:rPr>
                <w:rFonts w:ascii="Calibri" w:hAnsi="Calibri" w:cs="Arial"/>
              </w:rPr>
              <w:t>.</w:t>
            </w:r>
          </w:p>
          <w:p w14:paraId="04908960" w14:textId="747FBEA3" w:rsidR="00C315D7" w:rsidRPr="001D5159" w:rsidRDefault="00C315D7" w:rsidP="008B1ADC">
            <w:pPr>
              <w:rPr>
                <w:rFonts w:ascii="Calibri" w:hAnsi="Calibri"/>
              </w:rPr>
            </w:pPr>
          </w:p>
        </w:tc>
      </w:tr>
      <w:tr w:rsidR="007F3CD9" w:rsidRPr="001D5159" w14:paraId="20B23C1A" w14:textId="77777777" w:rsidTr="00873281">
        <w:trPr>
          <w:trHeight w:val="444"/>
        </w:trPr>
        <w:tc>
          <w:tcPr>
            <w:tcW w:w="1512" w:type="dxa"/>
            <w:shd w:val="clear" w:color="auto" w:fill="DEEAF6" w:themeFill="accent1" w:themeFillTint="33"/>
          </w:tcPr>
          <w:p w14:paraId="797CECE2" w14:textId="09D31F22" w:rsidR="007F3CD9" w:rsidRPr="001D5159" w:rsidRDefault="00695F66">
            <w:pPr>
              <w:rPr>
                <w:rFonts w:ascii="Calibri" w:hAnsi="Calibri"/>
                <w:b/>
              </w:rPr>
            </w:pPr>
            <w:r w:rsidRPr="001D5159">
              <w:rPr>
                <w:rFonts w:ascii="Calibri" w:hAnsi="Calibri"/>
                <w:b/>
              </w:rPr>
              <w:t>*</w:t>
            </w:r>
            <w:r w:rsidR="007F3CD9" w:rsidRPr="001D5159">
              <w:rPr>
                <w:rFonts w:ascii="Calibri" w:hAnsi="Calibri"/>
                <w:b/>
              </w:rPr>
              <w:t>Deadline for applications</w:t>
            </w:r>
          </w:p>
        </w:tc>
        <w:tc>
          <w:tcPr>
            <w:tcW w:w="7730" w:type="dxa"/>
          </w:tcPr>
          <w:p w14:paraId="489895A8" w14:textId="30F7B554" w:rsidR="007F3CD9" w:rsidRPr="001D5159" w:rsidRDefault="00914836" w:rsidP="00C33F84">
            <w:pPr>
              <w:rPr>
                <w:rFonts w:ascii="Calibri" w:hAnsi="Calibri"/>
              </w:rPr>
            </w:pPr>
            <w:r>
              <w:rPr>
                <w:rFonts w:ascii="Calibri" w:hAnsi="Calibri"/>
              </w:rPr>
              <w:t xml:space="preserve">February </w:t>
            </w:r>
            <w:r w:rsidR="00C33F84">
              <w:rPr>
                <w:rFonts w:ascii="Calibri" w:hAnsi="Calibri"/>
              </w:rPr>
              <w:t>202</w:t>
            </w:r>
            <w:r w:rsidR="00C653A1">
              <w:rPr>
                <w:rFonts w:ascii="Calibri" w:hAnsi="Calibri"/>
              </w:rPr>
              <w:t>2</w:t>
            </w:r>
          </w:p>
        </w:tc>
      </w:tr>
      <w:tr w:rsidR="007F3CD9" w:rsidRPr="001D5159" w14:paraId="7A487D07" w14:textId="77777777" w:rsidTr="00873281">
        <w:trPr>
          <w:trHeight w:val="444"/>
        </w:trPr>
        <w:tc>
          <w:tcPr>
            <w:tcW w:w="1512" w:type="dxa"/>
            <w:shd w:val="clear" w:color="auto" w:fill="DEEAF6" w:themeFill="accent1" w:themeFillTint="33"/>
          </w:tcPr>
          <w:p w14:paraId="70B884C3" w14:textId="77777777" w:rsidR="007F3CD9" w:rsidRPr="001D5159" w:rsidRDefault="00695F66">
            <w:pPr>
              <w:rPr>
                <w:rFonts w:ascii="Calibri" w:hAnsi="Calibri"/>
                <w:b/>
              </w:rPr>
            </w:pPr>
            <w:r w:rsidRPr="001D5159">
              <w:rPr>
                <w:rFonts w:ascii="Calibri" w:hAnsi="Calibri"/>
                <w:b/>
              </w:rPr>
              <w:t>*</w:t>
            </w:r>
            <w:r w:rsidR="007F3CD9" w:rsidRPr="001D5159">
              <w:rPr>
                <w:rFonts w:ascii="Calibri" w:hAnsi="Calibri"/>
                <w:b/>
              </w:rPr>
              <w:t>How to apply / contacts</w:t>
            </w:r>
          </w:p>
        </w:tc>
        <w:tc>
          <w:tcPr>
            <w:tcW w:w="7730" w:type="dxa"/>
          </w:tcPr>
          <w:p w14:paraId="71CA2C71" w14:textId="21F3316D" w:rsidR="007F3CD9" w:rsidRPr="001D5159" w:rsidRDefault="007F3CD9">
            <w:pPr>
              <w:rPr>
                <w:rFonts w:ascii="Calibri" w:hAnsi="Calibri"/>
              </w:rPr>
            </w:pPr>
            <w:r w:rsidRPr="001D5159">
              <w:rPr>
                <w:rFonts w:ascii="Calibri" w:hAnsi="Calibri"/>
              </w:rPr>
              <w:t>Postgraduate Research applicants</w:t>
            </w:r>
            <w:r w:rsidR="007C3A10" w:rsidRPr="001D5159">
              <w:rPr>
                <w:rFonts w:ascii="Calibri" w:hAnsi="Calibri"/>
              </w:rPr>
              <w:t xml:space="preserve"> </w:t>
            </w:r>
            <w:r w:rsidRPr="001D5159">
              <w:rPr>
                <w:rFonts w:ascii="Calibri" w:hAnsi="Calibri"/>
              </w:rPr>
              <w:t xml:space="preserve">must have applied to Queen’s, via </w:t>
            </w:r>
            <w:r w:rsidR="00C33F84">
              <w:rPr>
                <w:rFonts w:ascii="Calibri" w:hAnsi="Calibri"/>
              </w:rPr>
              <w:t>the Direct Applications Portal.</w:t>
            </w:r>
          </w:p>
          <w:p w14:paraId="7417D1C6" w14:textId="77777777" w:rsidR="007F3CD9" w:rsidRPr="001D5159" w:rsidRDefault="007F3CD9">
            <w:pPr>
              <w:rPr>
                <w:rFonts w:ascii="Calibri" w:hAnsi="Calibri"/>
              </w:rPr>
            </w:pPr>
          </w:p>
          <w:p w14:paraId="50D79A55" w14:textId="77777777" w:rsidR="007F3CD9" w:rsidRPr="001D5159" w:rsidRDefault="00914836">
            <w:pPr>
              <w:rPr>
                <w:rFonts w:ascii="Calibri" w:hAnsi="Calibri"/>
              </w:rPr>
            </w:pPr>
            <w:hyperlink r:id="rId6" w:history="1">
              <w:r w:rsidR="007F3CD9" w:rsidRPr="001D5159">
                <w:rPr>
                  <w:rStyle w:val="Hyperlink"/>
                  <w:rFonts w:ascii="Calibri" w:hAnsi="Calibri"/>
                </w:rPr>
                <w:t>https://dap.qub.ac.uk/portal/user/u_login.php</w:t>
              </w:r>
            </w:hyperlink>
            <w:r w:rsidR="007F3CD9" w:rsidRPr="001D5159">
              <w:rPr>
                <w:rFonts w:ascii="Calibri" w:hAnsi="Calibri"/>
              </w:rPr>
              <w:t xml:space="preserve"> </w:t>
            </w:r>
            <w:r w:rsidR="007F3CD9" w:rsidRPr="001D5159">
              <w:rPr>
                <w:rFonts w:ascii="Calibri" w:hAnsi="Calibri"/>
              </w:rPr>
              <w:br/>
            </w:r>
          </w:p>
        </w:tc>
      </w:tr>
      <w:tr w:rsidR="007F3CD9" w:rsidRPr="001D5159" w14:paraId="768977FD" w14:textId="77777777" w:rsidTr="00F120B1">
        <w:trPr>
          <w:trHeight w:val="1799"/>
        </w:trPr>
        <w:tc>
          <w:tcPr>
            <w:tcW w:w="1512" w:type="dxa"/>
            <w:shd w:val="clear" w:color="auto" w:fill="DEEAF6" w:themeFill="accent1" w:themeFillTint="33"/>
          </w:tcPr>
          <w:p w14:paraId="49F160B1" w14:textId="77777777" w:rsidR="007F3CD9" w:rsidRPr="001D5159" w:rsidRDefault="007F3CD9">
            <w:pPr>
              <w:rPr>
                <w:rFonts w:ascii="Calibri" w:hAnsi="Calibri"/>
                <w:b/>
              </w:rPr>
            </w:pPr>
            <w:r w:rsidRPr="001D5159">
              <w:rPr>
                <w:rFonts w:ascii="Calibri" w:hAnsi="Calibri"/>
                <w:b/>
              </w:rPr>
              <w:t xml:space="preserve">Relevant links </w:t>
            </w:r>
            <w:r w:rsidR="001B792D" w:rsidRPr="001D5159">
              <w:rPr>
                <w:rFonts w:ascii="Calibri" w:hAnsi="Calibri"/>
                <w:b/>
              </w:rPr>
              <w:t xml:space="preserve">/ more information </w:t>
            </w:r>
          </w:p>
          <w:p w14:paraId="4C17368C" w14:textId="77777777" w:rsidR="007F3CD9" w:rsidRPr="001D5159" w:rsidRDefault="007F3CD9">
            <w:pPr>
              <w:rPr>
                <w:rFonts w:ascii="Calibri" w:hAnsi="Calibri"/>
              </w:rPr>
            </w:pPr>
          </w:p>
        </w:tc>
        <w:tc>
          <w:tcPr>
            <w:tcW w:w="7730" w:type="dxa"/>
          </w:tcPr>
          <w:p w14:paraId="3194874E" w14:textId="77777777" w:rsidR="007F3CD9" w:rsidRPr="001D5159" w:rsidRDefault="007F3CD9">
            <w:pPr>
              <w:rPr>
                <w:rFonts w:ascii="Calibri" w:hAnsi="Calibri"/>
              </w:rPr>
            </w:pPr>
          </w:p>
          <w:p w14:paraId="2A178B23" w14:textId="77777777" w:rsidR="007F3CD9" w:rsidRPr="001D5159" w:rsidRDefault="00914836">
            <w:pPr>
              <w:rPr>
                <w:rFonts w:ascii="Calibri" w:hAnsi="Calibri"/>
              </w:rPr>
            </w:pPr>
            <w:hyperlink r:id="rId7" w:history="1">
              <w:r w:rsidR="007C3A10" w:rsidRPr="001D5159">
                <w:rPr>
                  <w:rStyle w:val="Hyperlink"/>
                  <w:rFonts w:ascii="Calibri" w:hAnsi="Calibri"/>
                </w:rPr>
                <w:t>http://www.qub.ac.uk/schools/SchoolofPharmacy/Research/PostgraduatePositions/</w:t>
              </w:r>
            </w:hyperlink>
          </w:p>
          <w:p w14:paraId="64418259" w14:textId="77777777" w:rsidR="007C3A10" w:rsidRPr="001D5159" w:rsidRDefault="007C3A10">
            <w:pPr>
              <w:rPr>
                <w:rFonts w:ascii="Calibri" w:hAnsi="Calibri"/>
              </w:rPr>
            </w:pPr>
          </w:p>
          <w:p w14:paraId="403278DB" w14:textId="77777777" w:rsidR="007C3A10" w:rsidRPr="001D5159" w:rsidRDefault="00914836">
            <w:pPr>
              <w:rPr>
                <w:rStyle w:val="Hyperlink"/>
                <w:rFonts w:ascii="Calibri" w:hAnsi="Calibri"/>
              </w:rPr>
            </w:pPr>
            <w:hyperlink r:id="rId8" w:history="1">
              <w:r w:rsidR="007C3A10" w:rsidRPr="001D5159">
                <w:rPr>
                  <w:rStyle w:val="Hyperlink"/>
                  <w:rFonts w:ascii="Calibri" w:hAnsi="Calibri"/>
                </w:rPr>
                <w:t>http://www.qub.ac.uk/schools/SchoolofPharmacy/Research/</w:t>
              </w:r>
            </w:hyperlink>
          </w:p>
          <w:p w14:paraId="1CF021AD" w14:textId="77777777" w:rsidR="00960566" w:rsidRPr="001D5159" w:rsidRDefault="00960566" w:rsidP="00960566">
            <w:pPr>
              <w:rPr>
                <w:rFonts w:ascii="Calibri" w:hAnsi="Calibri"/>
              </w:rPr>
            </w:pPr>
          </w:p>
          <w:p w14:paraId="6B53524E" w14:textId="3A9F269F" w:rsidR="007C3A10" w:rsidRPr="001D5159" w:rsidRDefault="007C3A10">
            <w:pPr>
              <w:rPr>
                <w:rFonts w:ascii="Calibri" w:hAnsi="Calibri"/>
              </w:rPr>
            </w:pPr>
          </w:p>
        </w:tc>
      </w:tr>
      <w:tr w:rsidR="001B792D" w:rsidRPr="001D5159" w14:paraId="047D132B" w14:textId="77777777" w:rsidTr="00873281">
        <w:trPr>
          <w:trHeight w:val="576"/>
        </w:trPr>
        <w:tc>
          <w:tcPr>
            <w:tcW w:w="1512" w:type="dxa"/>
            <w:shd w:val="clear" w:color="auto" w:fill="DEEAF6" w:themeFill="accent1" w:themeFillTint="33"/>
          </w:tcPr>
          <w:p w14:paraId="12CD1648" w14:textId="77777777" w:rsidR="001B792D" w:rsidRPr="001D5159" w:rsidRDefault="001B792D">
            <w:pPr>
              <w:rPr>
                <w:rFonts w:ascii="Calibri" w:hAnsi="Calibri"/>
                <w:b/>
              </w:rPr>
            </w:pPr>
            <w:r w:rsidRPr="001D5159">
              <w:rPr>
                <w:rFonts w:ascii="Calibri" w:hAnsi="Calibri"/>
                <w:b/>
              </w:rPr>
              <w:t>Keywords for search filters</w:t>
            </w:r>
          </w:p>
        </w:tc>
        <w:tc>
          <w:tcPr>
            <w:tcW w:w="7730" w:type="dxa"/>
          </w:tcPr>
          <w:p w14:paraId="60DC74E3" w14:textId="54879ACB" w:rsidR="001B792D" w:rsidRPr="001D5159" w:rsidRDefault="00C653A1" w:rsidP="00921D63">
            <w:pPr>
              <w:jc w:val="both"/>
              <w:rPr>
                <w:rFonts w:ascii="Calibri" w:hAnsi="Calibri"/>
              </w:rPr>
            </w:pPr>
            <w:r>
              <w:rPr>
                <w:rFonts w:ascii="Calibri" w:hAnsi="Calibri"/>
              </w:rPr>
              <w:t xml:space="preserve">mRNA, drug delivery, nanomedicine, </w:t>
            </w:r>
            <w:r w:rsidR="00451B61">
              <w:rPr>
                <w:rFonts w:ascii="Calibri" w:hAnsi="Calibri"/>
              </w:rPr>
              <w:t>Blood brain barrier, non-viral</w:t>
            </w:r>
            <w:r>
              <w:rPr>
                <w:rFonts w:ascii="Calibri" w:hAnsi="Calibri"/>
              </w:rPr>
              <w:t xml:space="preserve"> </w:t>
            </w:r>
          </w:p>
        </w:tc>
      </w:tr>
      <w:tr w:rsidR="001B792D" w:rsidRPr="001D5159" w14:paraId="0AC7B4C0" w14:textId="77777777" w:rsidTr="00873281">
        <w:trPr>
          <w:trHeight w:val="470"/>
        </w:trPr>
        <w:tc>
          <w:tcPr>
            <w:tcW w:w="1512" w:type="dxa"/>
            <w:shd w:val="clear" w:color="auto" w:fill="DEEAF6" w:themeFill="accent1" w:themeFillTint="33"/>
          </w:tcPr>
          <w:p w14:paraId="4D54FEE9" w14:textId="77777777" w:rsidR="001B792D" w:rsidRPr="001D5159" w:rsidRDefault="001B792D">
            <w:pPr>
              <w:rPr>
                <w:rFonts w:ascii="Calibri" w:hAnsi="Calibri"/>
                <w:b/>
              </w:rPr>
            </w:pPr>
            <w:r w:rsidRPr="001D5159">
              <w:rPr>
                <w:rFonts w:ascii="Calibri" w:hAnsi="Calibri"/>
                <w:b/>
              </w:rPr>
              <w:t>Training provided through the research project</w:t>
            </w:r>
          </w:p>
        </w:tc>
        <w:tc>
          <w:tcPr>
            <w:tcW w:w="7730" w:type="dxa"/>
          </w:tcPr>
          <w:p w14:paraId="46DF5303" w14:textId="77777777" w:rsidR="00C653A1" w:rsidRDefault="00C653A1" w:rsidP="00921D63">
            <w:pPr>
              <w:jc w:val="both"/>
            </w:pPr>
            <w:r w:rsidRPr="004F194D">
              <w:t xml:space="preserve">The </w:t>
            </w:r>
            <w:r>
              <w:t>PhD student appointed to this</w:t>
            </w:r>
            <w:r w:rsidRPr="004F194D">
              <w:t xml:space="preserve"> project will have a unique opportunity to work at the interface of the biological and chemical sciences and</w:t>
            </w:r>
            <w:r>
              <w:t xml:space="preserve"> pharmaceutical engineering, </w:t>
            </w:r>
            <w:r w:rsidRPr="004F194D">
              <w:t>carry</w:t>
            </w:r>
            <w:r>
              <w:t>ing</w:t>
            </w:r>
            <w:r w:rsidRPr="004F194D">
              <w:t xml:space="preserve"> out research in a </w:t>
            </w:r>
            <w:r>
              <w:t>stimulating</w:t>
            </w:r>
            <w:r w:rsidRPr="004F194D">
              <w:t xml:space="preserve"> environment </w:t>
            </w:r>
            <w:r>
              <w:t>while receiving</w:t>
            </w:r>
            <w:r w:rsidRPr="004F194D">
              <w:t xml:space="preserve"> both subject-specific and generic skills training</w:t>
            </w:r>
            <w:r>
              <w:t xml:space="preserve">. Research techniques will involve </w:t>
            </w:r>
            <w:proofErr w:type="spellStart"/>
            <w:r>
              <w:t>physico</w:t>
            </w:r>
            <w:proofErr w:type="spellEnd"/>
            <w:r>
              <w:t xml:space="preserve">-chemical analytical techniques (laser spectroscopy, dynamic light scattering, nanoparticle tracking analysis), specialist imaging techniques (Ramen imaging microscopy; hyperspectral imaging; TEM) in addition to a suite of </w:t>
            </w:r>
            <w:r>
              <w:rPr>
                <w:i/>
              </w:rPr>
              <w:t xml:space="preserve">in vitro </w:t>
            </w:r>
            <w:r>
              <w:t xml:space="preserve">and </w:t>
            </w:r>
            <w:r>
              <w:rPr>
                <w:i/>
              </w:rPr>
              <w:t xml:space="preserve">in vivo </w:t>
            </w:r>
            <w:r>
              <w:t>biological assays to assess therapeutic efficacy.</w:t>
            </w:r>
          </w:p>
          <w:p w14:paraId="0FC3D6EA" w14:textId="77777777" w:rsidR="00921D63" w:rsidRDefault="00921D63" w:rsidP="00921D63">
            <w:pPr>
              <w:jc w:val="both"/>
            </w:pPr>
          </w:p>
          <w:p w14:paraId="3D9C554A" w14:textId="1B7A8A02" w:rsidR="00090D75" w:rsidRDefault="00C653A1" w:rsidP="00921D63">
            <w:pPr>
              <w:jc w:val="both"/>
              <w:rPr>
                <w:rFonts w:ascii="Calibri" w:hAnsi="Calibri"/>
              </w:rPr>
            </w:pPr>
            <w:r>
              <w:t xml:space="preserve">The School of Pharmacy, QUB, has a highly structured annual review process, consisting of a variety of written and oral assessments. Importantly, this structure has ensured that 100% of PhD candidates have submitted within the allocated </w:t>
            </w:r>
            <w:proofErr w:type="gramStart"/>
            <w:r>
              <w:t>time period</w:t>
            </w:r>
            <w:proofErr w:type="gramEnd"/>
            <w:r>
              <w:t xml:space="preserve"> over the last four years. Additional skills training will be provided by QUB</w:t>
            </w:r>
            <w:r w:rsidR="00921D63">
              <w:t xml:space="preserve"> through the Graduate School</w:t>
            </w:r>
            <w:r>
              <w:t>, supplementing project specific learning.</w:t>
            </w:r>
          </w:p>
          <w:p w14:paraId="50C40384" w14:textId="01BCA897" w:rsidR="00090D75" w:rsidRPr="001D5159" w:rsidRDefault="00090D75" w:rsidP="00921D63">
            <w:pPr>
              <w:jc w:val="both"/>
              <w:rPr>
                <w:rFonts w:ascii="Calibri" w:hAnsi="Calibri"/>
              </w:rPr>
            </w:pPr>
          </w:p>
        </w:tc>
      </w:tr>
      <w:tr w:rsidR="001B792D" w:rsidRPr="001D5159" w14:paraId="35AA849E" w14:textId="77777777" w:rsidTr="00873281">
        <w:trPr>
          <w:trHeight w:val="470"/>
        </w:trPr>
        <w:tc>
          <w:tcPr>
            <w:tcW w:w="1512" w:type="dxa"/>
            <w:shd w:val="clear" w:color="auto" w:fill="DEEAF6" w:themeFill="accent1" w:themeFillTint="33"/>
          </w:tcPr>
          <w:p w14:paraId="2A6DDC67" w14:textId="77777777" w:rsidR="001B792D" w:rsidRPr="001D5159" w:rsidRDefault="001B792D">
            <w:pPr>
              <w:rPr>
                <w:rFonts w:ascii="Calibri" w:hAnsi="Calibri"/>
                <w:b/>
              </w:rPr>
            </w:pPr>
            <w:r w:rsidRPr="001D5159">
              <w:rPr>
                <w:rFonts w:ascii="Calibri" w:hAnsi="Calibri"/>
                <w:b/>
              </w:rPr>
              <w:lastRenderedPageBreak/>
              <w:t>Expected impact activities</w:t>
            </w:r>
          </w:p>
        </w:tc>
        <w:tc>
          <w:tcPr>
            <w:tcW w:w="7730" w:type="dxa"/>
          </w:tcPr>
          <w:p w14:paraId="53AD2D2A" w14:textId="2B7C38F9" w:rsidR="001B792D" w:rsidRPr="001D5159" w:rsidRDefault="00921D63" w:rsidP="00921D63">
            <w:pPr>
              <w:jc w:val="both"/>
              <w:rPr>
                <w:rFonts w:ascii="Calibri" w:hAnsi="Calibri"/>
              </w:rPr>
            </w:pPr>
            <w:r>
              <w:t xml:space="preserve">The fundamental knowledge and core technologies developed in this project are anticipated to ultimately deliver patient benefit. Impact activities include patient focus groups, liaising with clinicians and industry experts, conference attendance and publications. </w:t>
            </w:r>
          </w:p>
        </w:tc>
      </w:tr>
    </w:tbl>
    <w:p w14:paraId="69AE6B80" w14:textId="77777777" w:rsidR="00375356" w:rsidRPr="001D5159" w:rsidRDefault="00375356">
      <w:pPr>
        <w:rPr>
          <w:rFonts w:ascii="Calibri" w:hAnsi="Calibri"/>
        </w:rPr>
      </w:pPr>
    </w:p>
    <w:sectPr w:rsidR="00375356" w:rsidRPr="001D51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0375"/>
    <w:rsid w:val="00001543"/>
    <w:rsid w:val="00002F77"/>
    <w:rsid w:val="00012915"/>
    <w:rsid w:val="000140E0"/>
    <w:rsid w:val="00017B3A"/>
    <w:rsid w:val="000211E7"/>
    <w:rsid w:val="00036AC1"/>
    <w:rsid w:val="0006730B"/>
    <w:rsid w:val="0007487E"/>
    <w:rsid w:val="00074FC2"/>
    <w:rsid w:val="00076683"/>
    <w:rsid w:val="0008106D"/>
    <w:rsid w:val="00087903"/>
    <w:rsid w:val="00090D75"/>
    <w:rsid w:val="00093ED6"/>
    <w:rsid w:val="000976C2"/>
    <w:rsid w:val="000A78A3"/>
    <w:rsid w:val="000B1968"/>
    <w:rsid w:val="000B5232"/>
    <w:rsid w:val="000B5533"/>
    <w:rsid w:val="000B6594"/>
    <w:rsid w:val="000C6238"/>
    <w:rsid w:val="000D526E"/>
    <w:rsid w:val="000F0B0E"/>
    <w:rsid w:val="000F380D"/>
    <w:rsid w:val="000F550F"/>
    <w:rsid w:val="000F6B4D"/>
    <w:rsid w:val="000F6C8E"/>
    <w:rsid w:val="00100C14"/>
    <w:rsid w:val="00104E51"/>
    <w:rsid w:val="00114809"/>
    <w:rsid w:val="001215F1"/>
    <w:rsid w:val="00125BB4"/>
    <w:rsid w:val="001262AC"/>
    <w:rsid w:val="00127B6D"/>
    <w:rsid w:val="00131E69"/>
    <w:rsid w:val="0013226E"/>
    <w:rsid w:val="00136716"/>
    <w:rsid w:val="00136A7C"/>
    <w:rsid w:val="0014119A"/>
    <w:rsid w:val="00147201"/>
    <w:rsid w:val="00152845"/>
    <w:rsid w:val="00152DAA"/>
    <w:rsid w:val="00152DD3"/>
    <w:rsid w:val="00152E17"/>
    <w:rsid w:val="00157E70"/>
    <w:rsid w:val="001757EF"/>
    <w:rsid w:val="001865C3"/>
    <w:rsid w:val="00190974"/>
    <w:rsid w:val="001976E1"/>
    <w:rsid w:val="001B35A8"/>
    <w:rsid w:val="001B56F1"/>
    <w:rsid w:val="001B7418"/>
    <w:rsid w:val="001B792D"/>
    <w:rsid w:val="001B7A47"/>
    <w:rsid w:val="001C09BA"/>
    <w:rsid w:val="001C15E7"/>
    <w:rsid w:val="001C36D8"/>
    <w:rsid w:val="001C59A2"/>
    <w:rsid w:val="001C6CFE"/>
    <w:rsid w:val="001D5159"/>
    <w:rsid w:val="001D5A77"/>
    <w:rsid w:val="001E0C79"/>
    <w:rsid w:val="001E10DB"/>
    <w:rsid w:val="001E59D3"/>
    <w:rsid w:val="001E6AE7"/>
    <w:rsid w:val="001F273F"/>
    <w:rsid w:val="001F700A"/>
    <w:rsid w:val="0020192E"/>
    <w:rsid w:val="0020699C"/>
    <w:rsid w:val="00211ADC"/>
    <w:rsid w:val="0023305E"/>
    <w:rsid w:val="00234A97"/>
    <w:rsid w:val="002438AA"/>
    <w:rsid w:val="0024565D"/>
    <w:rsid w:val="00257E72"/>
    <w:rsid w:val="002663D0"/>
    <w:rsid w:val="002679A5"/>
    <w:rsid w:val="00270CA4"/>
    <w:rsid w:val="00275E36"/>
    <w:rsid w:val="00276A24"/>
    <w:rsid w:val="00286380"/>
    <w:rsid w:val="002A0180"/>
    <w:rsid w:val="002A22B2"/>
    <w:rsid w:val="002A6F4F"/>
    <w:rsid w:val="002B644E"/>
    <w:rsid w:val="002B6455"/>
    <w:rsid w:val="002C1BB6"/>
    <w:rsid w:val="002E0374"/>
    <w:rsid w:val="002E6701"/>
    <w:rsid w:val="002F06D8"/>
    <w:rsid w:val="002F38B4"/>
    <w:rsid w:val="002F3D8F"/>
    <w:rsid w:val="00300B77"/>
    <w:rsid w:val="00303DAB"/>
    <w:rsid w:val="00312241"/>
    <w:rsid w:val="003125A1"/>
    <w:rsid w:val="00315F1B"/>
    <w:rsid w:val="00322E90"/>
    <w:rsid w:val="0034159F"/>
    <w:rsid w:val="003418CF"/>
    <w:rsid w:val="00342E0B"/>
    <w:rsid w:val="003437FB"/>
    <w:rsid w:val="00346EA7"/>
    <w:rsid w:val="00347872"/>
    <w:rsid w:val="00353B81"/>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5DA8"/>
    <w:rsid w:val="003F716D"/>
    <w:rsid w:val="00403319"/>
    <w:rsid w:val="0040602C"/>
    <w:rsid w:val="00407ED6"/>
    <w:rsid w:val="00420A13"/>
    <w:rsid w:val="0043514D"/>
    <w:rsid w:val="00437BE9"/>
    <w:rsid w:val="00451B61"/>
    <w:rsid w:val="00452039"/>
    <w:rsid w:val="004658F1"/>
    <w:rsid w:val="0047023E"/>
    <w:rsid w:val="0047276F"/>
    <w:rsid w:val="00474150"/>
    <w:rsid w:val="00480978"/>
    <w:rsid w:val="00480D4A"/>
    <w:rsid w:val="0048607D"/>
    <w:rsid w:val="004874AA"/>
    <w:rsid w:val="00495498"/>
    <w:rsid w:val="004A4702"/>
    <w:rsid w:val="004C23B6"/>
    <w:rsid w:val="004C36C5"/>
    <w:rsid w:val="004C4456"/>
    <w:rsid w:val="004C5821"/>
    <w:rsid w:val="004C6CB4"/>
    <w:rsid w:val="004D2EF5"/>
    <w:rsid w:val="004D7242"/>
    <w:rsid w:val="004E5754"/>
    <w:rsid w:val="004E57B7"/>
    <w:rsid w:val="004F4713"/>
    <w:rsid w:val="004F57F3"/>
    <w:rsid w:val="00502C57"/>
    <w:rsid w:val="00507600"/>
    <w:rsid w:val="00527250"/>
    <w:rsid w:val="0053253B"/>
    <w:rsid w:val="0053628D"/>
    <w:rsid w:val="00540AEB"/>
    <w:rsid w:val="00541A46"/>
    <w:rsid w:val="00550AAE"/>
    <w:rsid w:val="00553AB1"/>
    <w:rsid w:val="0056009A"/>
    <w:rsid w:val="00567EBE"/>
    <w:rsid w:val="00571B6D"/>
    <w:rsid w:val="0058648B"/>
    <w:rsid w:val="005A4DBD"/>
    <w:rsid w:val="005B1A39"/>
    <w:rsid w:val="005B5E39"/>
    <w:rsid w:val="005B7F83"/>
    <w:rsid w:val="005D1843"/>
    <w:rsid w:val="005D4DF9"/>
    <w:rsid w:val="005D71BA"/>
    <w:rsid w:val="005E19CD"/>
    <w:rsid w:val="005F2741"/>
    <w:rsid w:val="005F301D"/>
    <w:rsid w:val="00636529"/>
    <w:rsid w:val="00636A02"/>
    <w:rsid w:val="0064028D"/>
    <w:rsid w:val="00640638"/>
    <w:rsid w:val="0064387C"/>
    <w:rsid w:val="00656476"/>
    <w:rsid w:val="00657EC8"/>
    <w:rsid w:val="0066260E"/>
    <w:rsid w:val="0066316A"/>
    <w:rsid w:val="00663A1A"/>
    <w:rsid w:val="006815A5"/>
    <w:rsid w:val="00695F66"/>
    <w:rsid w:val="006977CC"/>
    <w:rsid w:val="006B2D8B"/>
    <w:rsid w:val="006B5E92"/>
    <w:rsid w:val="006C2131"/>
    <w:rsid w:val="006C5676"/>
    <w:rsid w:val="006C60CA"/>
    <w:rsid w:val="006C6439"/>
    <w:rsid w:val="006C7069"/>
    <w:rsid w:val="006C778B"/>
    <w:rsid w:val="006D1994"/>
    <w:rsid w:val="006E4E27"/>
    <w:rsid w:val="006F3BF0"/>
    <w:rsid w:val="006F6EA4"/>
    <w:rsid w:val="00703E40"/>
    <w:rsid w:val="00704886"/>
    <w:rsid w:val="00720F2B"/>
    <w:rsid w:val="007268FC"/>
    <w:rsid w:val="00727F85"/>
    <w:rsid w:val="007347D4"/>
    <w:rsid w:val="007523AE"/>
    <w:rsid w:val="0075794A"/>
    <w:rsid w:val="00757A63"/>
    <w:rsid w:val="007627E0"/>
    <w:rsid w:val="0076752E"/>
    <w:rsid w:val="0077082C"/>
    <w:rsid w:val="00771690"/>
    <w:rsid w:val="00771E79"/>
    <w:rsid w:val="0077245E"/>
    <w:rsid w:val="00776188"/>
    <w:rsid w:val="00781A8B"/>
    <w:rsid w:val="00781ED6"/>
    <w:rsid w:val="00782E09"/>
    <w:rsid w:val="00793FA5"/>
    <w:rsid w:val="007B185B"/>
    <w:rsid w:val="007B1FB4"/>
    <w:rsid w:val="007B2C32"/>
    <w:rsid w:val="007B2E3E"/>
    <w:rsid w:val="007B515E"/>
    <w:rsid w:val="007B5CF8"/>
    <w:rsid w:val="007B6E4A"/>
    <w:rsid w:val="007C3A10"/>
    <w:rsid w:val="007D2A36"/>
    <w:rsid w:val="007E0D0E"/>
    <w:rsid w:val="007E1054"/>
    <w:rsid w:val="007E6E7C"/>
    <w:rsid w:val="007F3B9F"/>
    <w:rsid w:val="007F3CD9"/>
    <w:rsid w:val="007F7C74"/>
    <w:rsid w:val="008022E0"/>
    <w:rsid w:val="0081399F"/>
    <w:rsid w:val="00821CE6"/>
    <w:rsid w:val="00823089"/>
    <w:rsid w:val="00835A1C"/>
    <w:rsid w:val="00836A05"/>
    <w:rsid w:val="0085153F"/>
    <w:rsid w:val="00854482"/>
    <w:rsid w:val="0085462F"/>
    <w:rsid w:val="00862594"/>
    <w:rsid w:val="0087029C"/>
    <w:rsid w:val="00873281"/>
    <w:rsid w:val="00876D33"/>
    <w:rsid w:val="00880D9A"/>
    <w:rsid w:val="0088290A"/>
    <w:rsid w:val="00884B0B"/>
    <w:rsid w:val="0088648A"/>
    <w:rsid w:val="0089003B"/>
    <w:rsid w:val="00890EB8"/>
    <w:rsid w:val="008937DE"/>
    <w:rsid w:val="00893C50"/>
    <w:rsid w:val="00897BAA"/>
    <w:rsid w:val="008A002F"/>
    <w:rsid w:val="008B1ADC"/>
    <w:rsid w:val="008C083D"/>
    <w:rsid w:val="008F1C24"/>
    <w:rsid w:val="00901CF2"/>
    <w:rsid w:val="00911493"/>
    <w:rsid w:val="00914836"/>
    <w:rsid w:val="00921D63"/>
    <w:rsid w:val="00925FA3"/>
    <w:rsid w:val="009279B9"/>
    <w:rsid w:val="009453CE"/>
    <w:rsid w:val="0095334C"/>
    <w:rsid w:val="00956BE2"/>
    <w:rsid w:val="00957551"/>
    <w:rsid w:val="00960566"/>
    <w:rsid w:val="00981E1C"/>
    <w:rsid w:val="00982267"/>
    <w:rsid w:val="00982CC7"/>
    <w:rsid w:val="00983AD0"/>
    <w:rsid w:val="00991636"/>
    <w:rsid w:val="00993573"/>
    <w:rsid w:val="00996932"/>
    <w:rsid w:val="009B03F1"/>
    <w:rsid w:val="009B4CD7"/>
    <w:rsid w:val="009B569A"/>
    <w:rsid w:val="009D2BCC"/>
    <w:rsid w:val="009D483E"/>
    <w:rsid w:val="009D4AE3"/>
    <w:rsid w:val="009F0F1A"/>
    <w:rsid w:val="009F4EDF"/>
    <w:rsid w:val="00A00B98"/>
    <w:rsid w:val="00A0196B"/>
    <w:rsid w:val="00A05C2D"/>
    <w:rsid w:val="00A131B2"/>
    <w:rsid w:val="00A14FEA"/>
    <w:rsid w:val="00A24586"/>
    <w:rsid w:val="00A2502A"/>
    <w:rsid w:val="00A30D12"/>
    <w:rsid w:val="00A3441A"/>
    <w:rsid w:val="00A354B3"/>
    <w:rsid w:val="00A404C0"/>
    <w:rsid w:val="00A4488B"/>
    <w:rsid w:val="00A51E47"/>
    <w:rsid w:val="00A768A4"/>
    <w:rsid w:val="00A907D7"/>
    <w:rsid w:val="00A90948"/>
    <w:rsid w:val="00A946F0"/>
    <w:rsid w:val="00AA53C1"/>
    <w:rsid w:val="00AB4CB5"/>
    <w:rsid w:val="00AB72A5"/>
    <w:rsid w:val="00AB76CD"/>
    <w:rsid w:val="00AC07AE"/>
    <w:rsid w:val="00AC1FE9"/>
    <w:rsid w:val="00AD429E"/>
    <w:rsid w:val="00AD6DB6"/>
    <w:rsid w:val="00AE15FE"/>
    <w:rsid w:val="00AF1612"/>
    <w:rsid w:val="00AF3133"/>
    <w:rsid w:val="00B030A3"/>
    <w:rsid w:val="00B07BDF"/>
    <w:rsid w:val="00B1507C"/>
    <w:rsid w:val="00B160F9"/>
    <w:rsid w:val="00B16E01"/>
    <w:rsid w:val="00B21B3C"/>
    <w:rsid w:val="00B27846"/>
    <w:rsid w:val="00B359EF"/>
    <w:rsid w:val="00B363F2"/>
    <w:rsid w:val="00B40805"/>
    <w:rsid w:val="00B40C54"/>
    <w:rsid w:val="00B42F58"/>
    <w:rsid w:val="00B44FF9"/>
    <w:rsid w:val="00B47154"/>
    <w:rsid w:val="00B50BAC"/>
    <w:rsid w:val="00B55E28"/>
    <w:rsid w:val="00B6354C"/>
    <w:rsid w:val="00B703CE"/>
    <w:rsid w:val="00B937DC"/>
    <w:rsid w:val="00BA71ED"/>
    <w:rsid w:val="00BA75A3"/>
    <w:rsid w:val="00BB6F08"/>
    <w:rsid w:val="00BC2944"/>
    <w:rsid w:val="00BC3878"/>
    <w:rsid w:val="00BE032B"/>
    <w:rsid w:val="00BE346B"/>
    <w:rsid w:val="00BF08BD"/>
    <w:rsid w:val="00BF17EC"/>
    <w:rsid w:val="00BF4B26"/>
    <w:rsid w:val="00BF57DC"/>
    <w:rsid w:val="00C12418"/>
    <w:rsid w:val="00C2183A"/>
    <w:rsid w:val="00C263B0"/>
    <w:rsid w:val="00C315D7"/>
    <w:rsid w:val="00C31A8A"/>
    <w:rsid w:val="00C33F84"/>
    <w:rsid w:val="00C3441B"/>
    <w:rsid w:val="00C35113"/>
    <w:rsid w:val="00C428CF"/>
    <w:rsid w:val="00C50D2D"/>
    <w:rsid w:val="00C519E9"/>
    <w:rsid w:val="00C57CF9"/>
    <w:rsid w:val="00C6334C"/>
    <w:rsid w:val="00C653A1"/>
    <w:rsid w:val="00C66B4F"/>
    <w:rsid w:val="00C7500B"/>
    <w:rsid w:val="00C861B6"/>
    <w:rsid w:val="00C876DB"/>
    <w:rsid w:val="00C912B9"/>
    <w:rsid w:val="00C938C4"/>
    <w:rsid w:val="00CA2E64"/>
    <w:rsid w:val="00CA3E08"/>
    <w:rsid w:val="00CA70D8"/>
    <w:rsid w:val="00CB3D31"/>
    <w:rsid w:val="00CC767D"/>
    <w:rsid w:val="00CD4D50"/>
    <w:rsid w:val="00CE1429"/>
    <w:rsid w:val="00CE16CA"/>
    <w:rsid w:val="00CE50BE"/>
    <w:rsid w:val="00CE6CFB"/>
    <w:rsid w:val="00D00807"/>
    <w:rsid w:val="00D0311E"/>
    <w:rsid w:val="00D063DA"/>
    <w:rsid w:val="00D113D5"/>
    <w:rsid w:val="00D1184B"/>
    <w:rsid w:val="00D11B48"/>
    <w:rsid w:val="00D1708D"/>
    <w:rsid w:val="00D23483"/>
    <w:rsid w:val="00D31D29"/>
    <w:rsid w:val="00D367BF"/>
    <w:rsid w:val="00D5030D"/>
    <w:rsid w:val="00D5690F"/>
    <w:rsid w:val="00D57854"/>
    <w:rsid w:val="00D64E36"/>
    <w:rsid w:val="00D804A3"/>
    <w:rsid w:val="00D80D41"/>
    <w:rsid w:val="00D82FEF"/>
    <w:rsid w:val="00D84A9F"/>
    <w:rsid w:val="00D91A1F"/>
    <w:rsid w:val="00DA1273"/>
    <w:rsid w:val="00DA3F99"/>
    <w:rsid w:val="00DB009E"/>
    <w:rsid w:val="00DB437C"/>
    <w:rsid w:val="00DB450E"/>
    <w:rsid w:val="00DB709B"/>
    <w:rsid w:val="00DC5B83"/>
    <w:rsid w:val="00DD1D77"/>
    <w:rsid w:val="00DD6932"/>
    <w:rsid w:val="00DF148B"/>
    <w:rsid w:val="00E11BB2"/>
    <w:rsid w:val="00E1277F"/>
    <w:rsid w:val="00E166B5"/>
    <w:rsid w:val="00E177D8"/>
    <w:rsid w:val="00E2148C"/>
    <w:rsid w:val="00E27D11"/>
    <w:rsid w:val="00E35E2D"/>
    <w:rsid w:val="00E36870"/>
    <w:rsid w:val="00E41AE4"/>
    <w:rsid w:val="00E44D18"/>
    <w:rsid w:val="00E471FE"/>
    <w:rsid w:val="00E5373D"/>
    <w:rsid w:val="00E55956"/>
    <w:rsid w:val="00E618A6"/>
    <w:rsid w:val="00E62BE0"/>
    <w:rsid w:val="00E720D9"/>
    <w:rsid w:val="00E721FA"/>
    <w:rsid w:val="00E731E0"/>
    <w:rsid w:val="00E76C26"/>
    <w:rsid w:val="00E93C8B"/>
    <w:rsid w:val="00E9442A"/>
    <w:rsid w:val="00EA02F6"/>
    <w:rsid w:val="00EA0D01"/>
    <w:rsid w:val="00EA70C2"/>
    <w:rsid w:val="00EC4DE0"/>
    <w:rsid w:val="00EC505E"/>
    <w:rsid w:val="00ED21A7"/>
    <w:rsid w:val="00ED5C21"/>
    <w:rsid w:val="00EE11D1"/>
    <w:rsid w:val="00EE14CB"/>
    <w:rsid w:val="00EE3B21"/>
    <w:rsid w:val="00EE5C5D"/>
    <w:rsid w:val="00EE693D"/>
    <w:rsid w:val="00EF23A4"/>
    <w:rsid w:val="00EF271B"/>
    <w:rsid w:val="00F1151C"/>
    <w:rsid w:val="00F11771"/>
    <w:rsid w:val="00F120B1"/>
    <w:rsid w:val="00F2645B"/>
    <w:rsid w:val="00F276FA"/>
    <w:rsid w:val="00F333AB"/>
    <w:rsid w:val="00F376E8"/>
    <w:rsid w:val="00F45400"/>
    <w:rsid w:val="00F52902"/>
    <w:rsid w:val="00F53AD2"/>
    <w:rsid w:val="00F61002"/>
    <w:rsid w:val="00F74680"/>
    <w:rsid w:val="00F76DAC"/>
    <w:rsid w:val="00F81886"/>
    <w:rsid w:val="00F8266B"/>
    <w:rsid w:val="00F82BDB"/>
    <w:rsid w:val="00F848EA"/>
    <w:rsid w:val="00F90DB4"/>
    <w:rsid w:val="00FB1B0D"/>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F7BBB"/>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C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ind w:left="720"/>
      <w:contextualSpacing/>
    </w:pPr>
  </w:style>
  <w:style w:type="paragraph" w:styleId="BalloonText">
    <w:name w:val="Balloon Text"/>
    <w:basedOn w:val="Normal"/>
    <w:link w:val="BalloonTextChar"/>
    <w:uiPriority w:val="99"/>
    <w:semiHidden/>
    <w:unhideWhenUsed/>
    <w:rsid w:val="00BA71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customStyle="1" w:styleId="nowrap">
    <w:name w:val="nowrap"/>
    <w:basedOn w:val="DefaultParagraphFont"/>
    <w:rsid w:val="00E93C8B"/>
  </w:style>
  <w:style w:type="paragraph" w:customStyle="1" w:styleId="TableParagraph">
    <w:name w:val="Table Paragraph"/>
    <w:basedOn w:val="Normal"/>
    <w:uiPriority w:val="1"/>
    <w:qFormat/>
    <w:rsid w:val="009B4CD7"/>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 w:type="character" w:customStyle="1" w:styleId="apple-converted-space">
    <w:name w:val="apple-converted-space"/>
    <w:basedOn w:val="DefaultParagraphFont"/>
    <w:rsid w:val="00451B61"/>
  </w:style>
  <w:style w:type="paragraph" w:styleId="NormalWeb">
    <w:name w:val="Normal (Web)"/>
    <w:basedOn w:val="Normal"/>
    <w:uiPriority w:val="99"/>
    <w:semiHidden/>
    <w:unhideWhenUsed/>
    <w:rsid w:val="00451B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2026">
      <w:bodyDiv w:val="1"/>
      <w:marLeft w:val="0"/>
      <w:marRight w:val="0"/>
      <w:marTop w:val="0"/>
      <w:marBottom w:val="0"/>
      <w:divBdr>
        <w:top w:val="none" w:sz="0" w:space="0" w:color="auto"/>
        <w:left w:val="none" w:sz="0" w:space="0" w:color="auto"/>
        <w:bottom w:val="none" w:sz="0" w:space="0" w:color="auto"/>
        <w:right w:val="none" w:sz="0" w:space="0" w:color="auto"/>
      </w:divBdr>
    </w:div>
    <w:div w:id="169150434">
      <w:bodyDiv w:val="1"/>
      <w:marLeft w:val="0"/>
      <w:marRight w:val="0"/>
      <w:marTop w:val="0"/>
      <w:marBottom w:val="0"/>
      <w:divBdr>
        <w:top w:val="none" w:sz="0" w:space="0" w:color="auto"/>
        <w:left w:val="none" w:sz="0" w:space="0" w:color="auto"/>
        <w:bottom w:val="none" w:sz="0" w:space="0" w:color="auto"/>
        <w:right w:val="none" w:sz="0" w:space="0" w:color="auto"/>
      </w:divBdr>
      <w:divsChild>
        <w:div w:id="2117402657">
          <w:marLeft w:val="0"/>
          <w:marRight w:val="0"/>
          <w:marTop w:val="0"/>
          <w:marBottom w:val="0"/>
          <w:divBdr>
            <w:top w:val="none" w:sz="0" w:space="0" w:color="auto"/>
            <w:left w:val="none" w:sz="0" w:space="0" w:color="auto"/>
            <w:bottom w:val="none" w:sz="0" w:space="0" w:color="auto"/>
            <w:right w:val="none" w:sz="0" w:space="0" w:color="auto"/>
          </w:divBdr>
          <w:divsChild>
            <w:div w:id="2037467414">
              <w:marLeft w:val="0"/>
              <w:marRight w:val="0"/>
              <w:marTop w:val="0"/>
              <w:marBottom w:val="0"/>
              <w:divBdr>
                <w:top w:val="none" w:sz="0" w:space="0" w:color="auto"/>
                <w:left w:val="none" w:sz="0" w:space="0" w:color="auto"/>
                <w:bottom w:val="none" w:sz="0" w:space="0" w:color="auto"/>
                <w:right w:val="none" w:sz="0" w:space="0" w:color="auto"/>
              </w:divBdr>
              <w:divsChild>
                <w:div w:id="1475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4954">
      <w:bodyDiv w:val="1"/>
      <w:marLeft w:val="0"/>
      <w:marRight w:val="0"/>
      <w:marTop w:val="0"/>
      <w:marBottom w:val="0"/>
      <w:divBdr>
        <w:top w:val="none" w:sz="0" w:space="0" w:color="auto"/>
        <w:left w:val="none" w:sz="0" w:space="0" w:color="auto"/>
        <w:bottom w:val="none" w:sz="0" w:space="0" w:color="auto"/>
        <w:right w:val="none" w:sz="0" w:space="0" w:color="auto"/>
      </w:divBdr>
    </w:div>
    <w:div w:id="969433970">
      <w:bodyDiv w:val="1"/>
      <w:marLeft w:val="0"/>
      <w:marRight w:val="0"/>
      <w:marTop w:val="0"/>
      <w:marBottom w:val="0"/>
      <w:divBdr>
        <w:top w:val="none" w:sz="0" w:space="0" w:color="auto"/>
        <w:left w:val="none" w:sz="0" w:space="0" w:color="auto"/>
        <w:bottom w:val="none" w:sz="0" w:space="0" w:color="auto"/>
        <w:right w:val="none" w:sz="0" w:space="0" w:color="auto"/>
      </w:divBdr>
      <w:divsChild>
        <w:div w:id="578558135">
          <w:marLeft w:val="0"/>
          <w:marRight w:val="0"/>
          <w:marTop w:val="0"/>
          <w:marBottom w:val="0"/>
          <w:divBdr>
            <w:top w:val="none" w:sz="0" w:space="0" w:color="auto"/>
            <w:left w:val="none" w:sz="0" w:space="0" w:color="auto"/>
            <w:bottom w:val="none" w:sz="0" w:space="0" w:color="auto"/>
            <w:right w:val="none" w:sz="0" w:space="0" w:color="auto"/>
          </w:divBdr>
          <w:divsChild>
            <w:div w:id="702247454">
              <w:marLeft w:val="0"/>
              <w:marRight w:val="0"/>
              <w:marTop w:val="0"/>
              <w:marBottom w:val="0"/>
              <w:divBdr>
                <w:top w:val="none" w:sz="0" w:space="0" w:color="auto"/>
                <w:left w:val="none" w:sz="0" w:space="0" w:color="auto"/>
                <w:bottom w:val="none" w:sz="0" w:space="0" w:color="auto"/>
                <w:right w:val="none" w:sz="0" w:space="0" w:color="auto"/>
              </w:divBdr>
              <w:divsChild>
                <w:div w:id="2061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80745">
      <w:bodyDiv w:val="1"/>
      <w:marLeft w:val="0"/>
      <w:marRight w:val="0"/>
      <w:marTop w:val="0"/>
      <w:marBottom w:val="0"/>
      <w:divBdr>
        <w:top w:val="none" w:sz="0" w:space="0" w:color="auto"/>
        <w:left w:val="none" w:sz="0" w:space="0" w:color="auto"/>
        <w:bottom w:val="none" w:sz="0" w:space="0" w:color="auto"/>
        <w:right w:val="none" w:sz="0" w:space="0" w:color="auto"/>
      </w:divBdr>
    </w:div>
    <w:div w:id="1226381444">
      <w:bodyDiv w:val="1"/>
      <w:marLeft w:val="0"/>
      <w:marRight w:val="0"/>
      <w:marTop w:val="0"/>
      <w:marBottom w:val="0"/>
      <w:divBdr>
        <w:top w:val="none" w:sz="0" w:space="0" w:color="auto"/>
        <w:left w:val="none" w:sz="0" w:space="0" w:color="auto"/>
        <w:bottom w:val="none" w:sz="0" w:space="0" w:color="auto"/>
        <w:right w:val="none" w:sz="0" w:space="0" w:color="auto"/>
      </w:divBdr>
    </w:div>
    <w:div w:id="1338776529">
      <w:bodyDiv w:val="1"/>
      <w:marLeft w:val="0"/>
      <w:marRight w:val="0"/>
      <w:marTop w:val="0"/>
      <w:marBottom w:val="0"/>
      <w:divBdr>
        <w:top w:val="none" w:sz="0" w:space="0" w:color="auto"/>
        <w:left w:val="none" w:sz="0" w:space="0" w:color="auto"/>
        <w:bottom w:val="none" w:sz="0" w:space="0" w:color="auto"/>
        <w:right w:val="none" w:sz="0" w:space="0" w:color="auto"/>
      </w:divBdr>
    </w:div>
    <w:div w:id="1526870119">
      <w:bodyDiv w:val="1"/>
      <w:marLeft w:val="0"/>
      <w:marRight w:val="0"/>
      <w:marTop w:val="0"/>
      <w:marBottom w:val="0"/>
      <w:divBdr>
        <w:top w:val="none" w:sz="0" w:space="0" w:color="auto"/>
        <w:left w:val="none" w:sz="0" w:space="0" w:color="auto"/>
        <w:bottom w:val="none" w:sz="0" w:space="0" w:color="auto"/>
        <w:right w:val="none" w:sz="0" w:space="0" w:color="auto"/>
      </w:divBdr>
      <w:divsChild>
        <w:div w:id="1062371036">
          <w:marLeft w:val="0"/>
          <w:marRight w:val="0"/>
          <w:marTop w:val="0"/>
          <w:marBottom w:val="0"/>
          <w:divBdr>
            <w:top w:val="none" w:sz="0" w:space="0" w:color="auto"/>
            <w:left w:val="none" w:sz="0" w:space="0" w:color="auto"/>
            <w:bottom w:val="none" w:sz="0" w:space="0" w:color="auto"/>
            <w:right w:val="none" w:sz="0" w:space="0" w:color="auto"/>
          </w:divBdr>
          <w:divsChild>
            <w:div w:id="9861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268">
      <w:bodyDiv w:val="1"/>
      <w:marLeft w:val="0"/>
      <w:marRight w:val="0"/>
      <w:marTop w:val="0"/>
      <w:marBottom w:val="0"/>
      <w:divBdr>
        <w:top w:val="none" w:sz="0" w:space="0" w:color="auto"/>
        <w:left w:val="none" w:sz="0" w:space="0" w:color="auto"/>
        <w:bottom w:val="none" w:sz="0" w:space="0" w:color="auto"/>
        <w:right w:val="none" w:sz="0" w:space="0" w:color="auto"/>
      </w:divBdr>
    </w:div>
    <w:div w:id="1936473808">
      <w:bodyDiv w:val="1"/>
      <w:marLeft w:val="0"/>
      <w:marRight w:val="0"/>
      <w:marTop w:val="0"/>
      <w:marBottom w:val="0"/>
      <w:divBdr>
        <w:top w:val="none" w:sz="0" w:space="0" w:color="auto"/>
        <w:left w:val="none" w:sz="0" w:space="0" w:color="auto"/>
        <w:bottom w:val="none" w:sz="0" w:space="0" w:color="auto"/>
        <w:right w:val="none" w:sz="0" w:space="0" w:color="auto"/>
      </w:divBdr>
    </w:div>
    <w:div w:id="200003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schools/SchoolofPharmacy/Research/" TargetMode="External"/><Relationship Id="rId3" Type="http://schemas.openxmlformats.org/officeDocument/2006/relationships/settings" Target="settings.xml"/><Relationship Id="rId7" Type="http://schemas.openxmlformats.org/officeDocument/2006/relationships/hyperlink" Target="http://www.qub.ac.uk/schools/SchoolofPharmacy/Research/PostgraduatePos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p.qub.ac.uk/portal/user/u_login.php"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Helen McCarthy</cp:lastModifiedBy>
  <cp:revision>4</cp:revision>
  <cp:lastPrinted>2018-11-27T21:36:00Z</cp:lastPrinted>
  <dcterms:created xsi:type="dcterms:W3CDTF">2021-12-28T07:52:00Z</dcterms:created>
  <dcterms:modified xsi:type="dcterms:W3CDTF">2021-12-28T09:08:00Z</dcterms:modified>
</cp:coreProperties>
</file>