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EBBD3" w14:textId="77777777" w:rsidR="001976E1" w:rsidRDefault="001976E1">
      <w:bookmarkStart w:id="0" w:name="_Hlk94253356"/>
      <w:bookmarkStart w:id="1" w:name="_GoBack"/>
      <w:bookmarkEnd w:id="1"/>
    </w:p>
    <w:tbl>
      <w:tblPr>
        <w:tblStyle w:val="TableGrid"/>
        <w:tblW w:w="9918" w:type="dxa"/>
        <w:tblLook w:val="04A0" w:firstRow="1" w:lastRow="0" w:firstColumn="1" w:lastColumn="0" w:noHBand="0" w:noVBand="1"/>
      </w:tblPr>
      <w:tblGrid>
        <w:gridCol w:w="1522"/>
        <w:gridCol w:w="8761"/>
      </w:tblGrid>
      <w:tr w:rsidR="007E0599" w14:paraId="470BFEBC" w14:textId="77777777" w:rsidTr="00773C9D">
        <w:trPr>
          <w:trHeight w:val="470"/>
        </w:trPr>
        <w:tc>
          <w:tcPr>
            <w:tcW w:w="1522" w:type="dxa"/>
            <w:shd w:val="clear" w:color="auto" w:fill="DEEAF6" w:themeFill="accent1" w:themeFillTint="33"/>
          </w:tcPr>
          <w:p w14:paraId="23D85B35" w14:textId="77777777" w:rsidR="007E0599" w:rsidRPr="007F3CD9" w:rsidRDefault="007E0599" w:rsidP="007E0599">
            <w:pPr>
              <w:rPr>
                <w:b/>
              </w:rPr>
            </w:pPr>
            <w:r>
              <w:rPr>
                <w:b/>
              </w:rPr>
              <w:t>*</w:t>
            </w:r>
            <w:r w:rsidRPr="007F3CD9">
              <w:rPr>
                <w:b/>
              </w:rPr>
              <w:t>Title of studentship</w:t>
            </w:r>
          </w:p>
        </w:tc>
        <w:tc>
          <w:tcPr>
            <w:tcW w:w="8396" w:type="dxa"/>
          </w:tcPr>
          <w:p w14:paraId="3E2FB3A8" w14:textId="31FC202E" w:rsidR="001B5748" w:rsidRDefault="00595C97" w:rsidP="00452AD9">
            <w:r>
              <w:t xml:space="preserve">Computer-aided design for </w:t>
            </w:r>
            <w:r w:rsidR="0097315A">
              <w:t>advanced</w:t>
            </w:r>
            <w:r>
              <w:t xml:space="preserve"> drug delivery system: </w:t>
            </w:r>
            <w:r w:rsidR="0097315A">
              <w:t>Application in enabling formulations</w:t>
            </w:r>
          </w:p>
        </w:tc>
      </w:tr>
      <w:tr w:rsidR="007E0599" w14:paraId="31C3D3B2" w14:textId="77777777" w:rsidTr="00773C9D">
        <w:trPr>
          <w:trHeight w:val="444"/>
        </w:trPr>
        <w:tc>
          <w:tcPr>
            <w:tcW w:w="1522" w:type="dxa"/>
            <w:shd w:val="clear" w:color="auto" w:fill="DEEAF6" w:themeFill="accent1" w:themeFillTint="33"/>
          </w:tcPr>
          <w:p w14:paraId="32384FCF" w14:textId="77777777" w:rsidR="007E0599" w:rsidRPr="007F3CD9" w:rsidRDefault="007E0599" w:rsidP="007E0599">
            <w:pPr>
              <w:rPr>
                <w:b/>
              </w:rPr>
            </w:pPr>
            <w:r w:rsidRPr="007F3CD9">
              <w:rPr>
                <w:b/>
              </w:rPr>
              <w:t>Value</w:t>
            </w:r>
            <w:r>
              <w:rPr>
                <w:b/>
              </w:rPr>
              <w:t xml:space="preserve"> / what is covered? </w:t>
            </w:r>
          </w:p>
        </w:tc>
        <w:tc>
          <w:tcPr>
            <w:tcW w:w="8396" w:type="dxa"/>
          </w:tcPr>
          <w:p w14:paraId="6995C56D" w14:textId="4F2BA8AB" w:rsidR="007E0599" w:rsidRDefault="007E0599" w:rsidP="00317C62"/>
        </w:tc>
      </w:tr>
      <w:tr w:rsidR="007E0599" w14:paraId="694401E5" w14:textId="77777777" w:rsidTr="00773C9D">
        <w:trPr>
          <w:trHeight w:val="470"/>
        </w:trPr>
        <w:tc>
          <w:tcPr>
            <w:tcW w:w="1522" w:type="dxa"/>
            <w:shd w:val="clear" w:color="auto" w:fill="DEEAF6" w:themeFill="accent1" w:themeFillTint="33"/>
          </w:tcPr>
          <w:p w14:paraId="409D191F" w14:textId="77777777" w:rsidR="007E0599" w:rsidRPr="007F3CD9" w:rsidRDefault="007E0599" w:rsidP="007E0599">
            <w:pPr>
              <w:rPr>
                <w:b/>
              </w:rPr>
            </w:pPr>
            <w:r w:rsidRPr="007F3CD9">
              <w:rPr>
                <w:b/>
              </w:rPr>
              <w:t>Awarding body</w:t>
            </w:r>
          </w:p>
        </w:tc>
        <w:tc>
          <w:tcPr>
            <w:tcW w:w="8396" w:type="dxa"/>
          </w:tcPr>
          <w:p w14:paraId="65D9A2B6" w14:textId="27D27D79" w:rsidR="007E0599" w:rsidRDefault="007E0599" w:rsidP="007E0599"/>
        </w:tc>
      </w:tr>
      <w:tr w:rsidR="007E0599" w14:paraId="5E50BAF4" w14:textId="77777777" w:rsidTr="00773C9D">
        <w:trPr>
          <w:trHeight w:val="444"/>
        </w:trPr>
        <w:tc>
          <w:tcPr>
            <w:tcW w:w="1522" w:type="dxa"/>
            <w:shd w:val="clear" w:color="auto" w:fill="DEEAF6" w:themeFill="accent1" w:themeFillTint="33"/>
          </w:tcPr>
          <w:p w14:paraId="7109AFF7" w14:textId="77777777" w:rsidR="007E0599" w:rsidRPr="007F3CD9" w:rsidRDefault="007E0599" w:rsidP="007E0599">
            <w:pPr>
              <w:rPr>
                <w:b/>
              </w:rPr>
            </w:pPr>
            <w:r w:rsidRPr="007F3CD9">
              <w:rPr>
                <w:b/>
              </w:rPr>
              <w:t>Number of studentships</w:t>
            </w:r>
          </w:p>
        </w:tc>
        <w:tc>
          <w:tcPr>
            <w:tcW w:w="8396" w:type="dxa"/>
          </w:tcPr>
          <w:p w14:paraId="1BB087A6" w14:textId="407077F7" w:rsidR="007E0599" w:rsidRDefault="00502CAA" w:rsidP="007E0599">
            <w:r>
              <w:t>2</w:t>
            </w:r>
          </w:p>
        </w:tc>
      </w:tr>
      <w:tr w:rsidR="00420361" w14:paraId="67E34D74" w14:textId="77777777" w:rsidTr="00773C9D">
        <w:trPr>
          <w:trHeight w:val="1412"/>
        </w:trPr>
        <w:tc>
          <w:tcPr>
            <w:tcW w:w="1522" w:type="dxa"/>
            <w:shd w:val="clear" w:color="auto" w:fill="DEEAF6" w:themeFill="accent1" w:themeFillTint="33"/>
          </w:tcPr>
          <w:p w14:paraId="5A20FFB3" w14:textId="77777777" w:rsidR="00420361" w:rsidRPr="007F3CD9" w:rsidRDefault="00420361" w:rsidP="00420361">
            <w:pPr>
              <w:rPr>
                <w:b/>
              </w:rPr>
            </w:pPr>
            <w:bookmarkStart w:id="2" w:name="_Hlk94254001"/>
            <w:r>
              <w:rPr>
                <w:b/>
              </w:rPr>
              <w:t>*</w:t>
            </w:r>
            <w:r w:rsidRPr="007F3CD9">
              <w:rPr>
                <w:b/>
              </w:rPr>
              <w:t xml:space="preserve">Summary </w:t>
            </w:r>
            <w:r>
              <w:rPr>
                <w:b/>
              </w:rPr>
              <w:t xml:space="preserve">descriptive </w:t>
            </w:r>
            <w:r w:rsidRPr="007F3CD9">
              <w:rPr>
                <w:b/>
              </w:rPr>
              <w:t>text</w:t>
            </w:r>
            <w:r>
              <w:rPr>
                <w:b/>
              </w:rPr>
              <w:t xml:space="preserve"> / Example of research project </w:t>
            </w:r>
          </w:p>
        </w:tc>
        <w:tc>
          <w:tcPr>
            <w:tcW w:w="8396" w:type="dxa"/>
          </w:tcPr>
          <w:p w14:paraId="63A9CA55" w14:textId="77777777" w:rsidR="005E59E9" w:rsidRDefault="005E59E9" w:rsidP="005E59E9">
            <w:pPr>
              <w:rPr>
                <w:rFonts w:cstheme="minorHAnsi"/>
              </w:rPr>
            </w:pPr>
            <w:r>
              <w:rPr>
                <w:rFonts w:cstheme="minorHAnsi"/>
                <w:u w:val="single"/>
              </w:rPr>
              <w:t>Project 1 – Rational design and manufacturing of advanced drug delivery systems:</w:t>
            </w:r>
            <w:r>
              <w:rPr>
                <w:rFonts w:cstheme="minorHAnsi"/>
              </w:rPr>
              <w:t xml:space="preserve"> </w:t>
            </w:r>
          </w:p>
          <w:p w14:paraId="0306A8FF" w14:textId="759EAEEE" w:rsidR="005E59E9" w:rsidRDefault="005E59E9" w:rsidP="005E59E9">
            <w:pPr>
              <w:rPr>
                <w:rFonts w:cstheme="minorHAnsi"/>
              </w:rPr>
            </w:pPr>
            <w:r>
              <w:rPr>
                <w:rFonts w:cstheme="minorHAnsi"/>
              </w:rPr>
              <w:t xml:space="preserve">The successful candidate will complement the advanced modelling with an engineering approach to the design and manufacturing of advanced drug delivery systems. A range of advanced analytical techniques will be first utilised to understand the phase behaviours of the drug-polymer combinations, such as TEM, SEM, inline UV and Raman spectroscopy. With the guidance of the modelling, key information will be utilised for the manufacturing of drug delivery systems. The properties of these resulted systems will be fully investigated in terms of solubility, stability, metastability, </w:t>
            </w:r>
            <w:proofErr w:type="gramStart"/>
            <w:r>
              <w:rPr>
                <w:rFonts w:cstheme="minorHAnsi"/>
              </w:rPr>
              <w:t>drug</w:t>
            </w:r>
            <w:proofErr w:type="gramEnd"/>
            <w:r>
              <w:rPr>
                <w:rFonts w:cstheme="minorHAnsi"/>
              </w:rPr>
              <w:t xml:space="preserve"> release and membrane permeability at in vitro and ex vivo settings.  Outcomes of the formulation are expect to offer better efficacy for the treatments in various infectious diseases, such as cancer, parasitic and fungal infections. </w:t>
            </w:r>
          </w:p>
          <w:p w14:paraId="318DF975" w14:textId="77777777" w:rsidR="005E59E9" w:rsidRPr="004A3BD0" w:rsidRDefault="005E59E9" w:rsidP="005E59E9">
            <w:pPr>
              <w:rPr>
                <w:rFonts w:cstheme="minorHAnsi"/>
              </w:rPr>
            </w:pPr>
          </w:p>
          <w:p w14:paraId="2EA7C789" w14:textId="77777777" w:rsidR="005E59E9" w:rsidRDefault="005E59E9" w:rsidP="005E59E9">
            <w:pPr>
              <w:rPr>
                <w:rFonts w:cstheme="minorHAnsi"/>
              </w:rPr>
            </w:pPr>
            <w:r>
              <w:rPr>
                <w:rFonts w:cstheme="minorHAnsi"/>
                <w:u w:val="single"/>
              </w:rPr>
              <w:t>Project 2 - Advanced</w:t>
            </w:r>
            <w:r w:rsidRPr="00420361">
              <w:rPr>
                <w:rFonts w:cstheme="minorHAnsi"/>
                <w:u w:val="single"/>
              </w:rPr>
              <w:t xml:space="preserve"> modelling</w:t>
            </w:r>
            <w:r w:rsidRPr="00420361">
              <w:rPr>
                <w:rFonts w:cstheme="minorHAnsi"/>
              </w:rPr>
              <w:t>: The successful candidate will complement the experimental research with modelling of the kinetics of the drug-</w:t>
            </w:r>
            <w:r>
              <w:rPr>
                <w:rFonts w:cstheme="minorHAnsi"/>
              </w:rPr>
              <w:t>polymer</w:t>
            </w:r>
            <w:r w:rsidRPr="00420361">
              <w:rPr>
                <w:rFonts w:cstheme="minorHAnsi"/>
              </w:rPr>
              <w:t xml:space="preserve"> phase </w:t>
            </w:r>
            <w:r>
              <w:rPr>
                <w:rFonts w:cstheme="minorHAnsi"/>
              </w:rPr>
              <w:t>behaviours</w:t>
            </w:r>
            <w:r w:rsidRPr="00420361">
              <w:rPr>
                <w:rFonts w:cstheme="minorHAnsi"/>
              </w:rPr>
              <w:t xml:space="preserve">. The modelling with be based on a </w:t>
            </w:r>
            <w:r>
              <w:rPr>
                <w:rFonts w:cstheme="minorHAnsi"/>
              </w:rPr>
              <w:t xml:space="preserve">numerical implementation (with either </w:t>
            </w:r>
            <w:r w:rsidRPr="00420361">
              <w:rPr>
                <w:rFonts w:cstheme="minorHAnsi"/>
              </w:rPr>
              <w:t xml:space="preserve">finite element method (FEM) </w:t>
            </w:r>
            <w:r>
              <w:rPr>
                <w:rFonts w:cstheme="minorHAnsi"/>
              </w:rPr>
              <w:t xml:space="preserve">or spectral methods) </w:t>
            </w:r>
            <w:r w:rsidRPr="00420361">
              <w:rPr>
                <w:rFonts w:cstheme="minorHAnsi"/>
              </w:rPr>
              <w:t>of the Cahn-Hilliard model</w:t>
            </w:r>
            <w:r>
              <w:rPr>
                <w:rFonts w:cstheme="minorHAnsi"/>
              </w:rPr>
              <w:t xml:space="preserve"> and m</w:t>
            </w:r>
            <w:r w:rsidRPr="00420361">
              <w:rPr>
                <w:rFonts w:cstheme="minorHAnsi"/>
              </w:rPr>
              <w:t xml:space="preserve">ore advanced thermodynamics modelling using perturbed-chain statistical associating fluid theory (PC-SAFT) </w:t>
            </w:r>
            <w:r>
              <w:rPr>
                <w:rFonts w:cstheme="minorHAnsi"/>
              </w:rPr>
              <w:t>equation of state</w:t>
            </w:r>
            <w:r w:rsidRPr="00420361">
              <w:rPr>
                <w:rFonts w:cstheme="minorHAnsi"/>
              </w:rPr>
              <w:t>. The model will include effects of the temperature</w:t>
            </w:r>
            <w:r>
              <w:rPr>
                <w:rFonts w:cstheme="minorHAnsi"/>
              </w:rPr>
              <w:t>,</w:t>
            </w:r>
            <w:r w:rsidRPr="00420361">
              <w:rPr>
                <w:rFonts w:cstheme="minorHAnsi"/>
              </w:rPr>
              <w:t xml:space="preserve"> viscosity </w:t>
            </w:r>
            <w:r>
              <w:rPr>
                <w:rFonts w:cstheme="minorHAnsi"/>
              </w:rPr>
              <w:t xml:space="preserve">and diffusivities </w:t>
            </w:r>
            <w:r w:rsidRPr="00420361">
              <w:rPr>
                <w:rFonts w:cstheme="minorHAnsi"/>
              </w:rPr>
              <w:t xml:space="preserve">of the </w:t>
            </w:r>
            <w:proofErr w:type="gramStart"/>
            <w:r w:rsidRPr="00420361">
              <w:rPr>
                <w:rFonts w:cstheme="minorHAnsi"/>
              </w:rPr>
              <w:t>mixture which</w:t>
            </w:r>
            <w:proofErr w:type="gramEnd"/>
            <w:r w:rsidRPr="00420361">
              <w:rPr>
                <w:rFonts w:cstheme="minorHAnsi"/>
              </w:rPr>
              <w:t xml:space="preserve"> can be </w:t>
            </w:r>
            <w:r>
              <w:rPr>
                <w:rFonts w:cstheme="minorHAnsi"/>
              </w:rPr>
              <w:t>assed</w:t>
            </w:r>
            <w:r w:rsidRPr="00420361">
              <w:rPr>
                <w:rFonts w:cstheme="minorHAnsi"/>
              </w:rPr>
              <w:t xml:space="preserve"> experimentally. Outcomes of the model are expected to help design </w:t>
            </w:r>
            <w:r>
              <w:rPr>
                <w:rFonts w:cstheme="minorHAnsi"/>
              </w:rPr>
              <w:t xml:space="preserve">stable advanced drug delivery systems </w:t>
            </w:r>
          </w:p>
          <w:p w14:paraId="237558FB" w14:textId="4429DD8F" w:rsidR="00502CAA" w:rsidRPr="00420361" w:rsidRDefault="00502CAA" w:rsidP="00420361">
            <w:pPr>
              <w:rPr>
                <w:rFonts w:cstheme="minorHAnsi"/>
              </w:rPr>
            </w:pPr>
          </w:p>
        </w:tc>
      </w:tr>
      <w:bookmarkEnd w:id="2"/>
      <w:tr w:rsidR="00420361" w14:paraId="10C0BBE2" w14:textId="77777777" w:rsidTr="00773C9D">
        <w:trPr>
          <w:trHeight w:val="625"/>
        </w:trPr>
        <w:tc>
          <w:tcPr>
            <w:tcW w:w="1522" w:type="dxa"/>
            <w:shd w:val="clear" w:color="auto" w:fill="DEEAF6" w:themeFill="accent1" w:themeFillTint="33"/>
          </w:tcPr>
          <w:p w14:paraId="161F44CB" w14:textId="77777777" w:rsidR="00420361" w:rsidRDefault="00420361" w:rsidP="00420361">
            <w:pPr>
              <w:rPr>
                <w:b/>
              </w:rPr>
            </w:pPr>
            <w:r>
              <w:rPr>
                <w:b/>
              </w:rPr>
              <w:t>*Supervisor(s)</w:t>
            </w:r>
          </w:p>
        </w:tc>
        <w:tc>
          <w:tcPr>
            <w:tcW w:w="8396" w:type="dxa"/>
          </w:tcPr>
          <w:p w14:paraId="5FFB7D39" w14:textId="7733D5A4" w:rsidR="003064F2" w:rsidRPr="002963E1" w:rsidRDefault="003064F2" w:rsidP="003064F2">
            <w:pPr>
              <w:rPr>
                <w:rFonts w:ascii="Calibri" w:eastAsia="Calibri" w:hAnsi="Calibri"/>
              </w:rPr>
            </w:pPr>
            <w:r>
              <w:rPr>
                <w:rFonts w:ascii="Calibri" w:eastAsia="Calibri" w:hAnsi="Calibri"/>
              </w:rPr>
              <w:t xml:space="preserve">1) Pharmaceutical applications: PI: </w:t>
            </w:r>
            <w:r w:rsidR="0040217D">
              <w:rPr>
                <w:rFonts w:ascii="Calibri" w:eastAsia="Calibri" w:hAnsi="Calibri"/>
              </w:rPr>
              <w:t xml:space="preserve">Dr </w:t>
            </w:r>
            <w:r>
              <w:rPr>
                <w:rFonts w:ascii="Calibri" w:eastAsia="Calibri" w:hAnsi="Calibri"/>
              </w:rPr>
              <w:t xml:space="preserve">Yiwei Tian, School of Pharmacy, Co-I: </w:t>
            </w:r>
            <w:r w:rsidR="0040217D">
              <w:rPr>
                <w:rFonts w:ascii="Calibri" w:eastAsia="Calibri" w:hAnsi="Calibri"/>
              </w:rPr>
              <w:t xml:space="preserve">Prof. Gavin Andrews, School of Pharmacy, </w:t>
            </w:r>
            <w:r>
              <w:rPr>
                <w:rFonts w:ascii="Calibri" w:eastAsia="Calibri" w:hAnsi="Calibri"/>
              </w:rPr>
              <w:t xml:space="preserve">Dr Lorenzo Stella, School of Chemistry and Chemical </w:t>
            </w:r>
            <w:proofErr w:type="spellStart"/>
            <w:r>
              <w:rPr>
                <w:rFonts w:ascii="Calibri" w:eastAsia="Calibri" w:hAnsi="Calibri"/>
              </w:rPr>
              <w:t>Enginnering</w:t>
            </w:r>
            <w:proofErr w:type="spellEnd"/>
            <w:r>
              <w:rPr>
                <w:rFonts w:ascii="Calibri" w:eastAsia="Calibri" w:hAnsi="Calibri"/>
              </w:rPr>
              <w:t xml:space="preserve"> &amp; School of Mathematics and Physics</w:t>
            </w:r>
          </w:p>
          <w:p w14:paraId="6E14FC19" w14:textId="77777777" w:rsidR="003064F2" w:rsidRDefault="003064F2" w:rsidP="00420361"/>
          <w:p w14:paraId="17E603B7" w14:textId="0D31FA4E" w:rsidR="008E50F9" w:rsidRPr="003064F2" w:rsidRDefault="003064F2" w:rsidP="00420361">
            <w:r>
              <w:t>2</w:t>
            </w:r>
            <w:r w:rsidR="00502CAA">
              <w:t xml:space="preserve">) Advanced modelling: </w:t>
            </w:r>
            <w:r w:rsidR="00420361">
              <w:t>P</w:t>
            </w:r>
            <w:r w:rsidR="008E50F9">
              <w:t xml:space="preserve">I: </w:t>
            </w:r>
            <w:r w:rsidR="00CE593A">
              <w:rPr>
                <w:rFonts w:ascii="Calibri" w:eastAsia="Calibri" w:hAnsi="Calibri"/>
              </w:rPr>
              <w:t xml:space="preserve">Dr Lorenzo Stella, School of Chemistry and Chemical </w:t>
            </w:r>
            <w:proofErr w:type="spellStart"/>
            <w:r w:rsidR="00CE593A">
              <w:rPr>
                <w:rFonts w:ascii="Calibri" w:eastAsia="Calibri" w:hAnsi="Calibri"/>
              </w:rPr>
              <w:t>Enginnering</w:t>
            </w:r>
            <w:proofErr w:type="spellEnd"/>
            <w:r w:rsidR="00CE593A">
              <w:rPr>
                <w:rFonts w:ascii="Calibri" w:eastAsia="Calibri" w:hAnsi="Calibri"/>
              </w:rPr>
              <w:t xml:space="preserve"> &amp; School of Mathematics and Physics</w:t>
            </w:r>
            <w:r w:rsidR="008E50F9">
              <w:rPr>
                <w:rFonts w:ascii="Calibri" w:eastAsia="Calibri" w:hAnsi="Calibri"/>
              </w:rPr>
              <w:t xml:space="preserve">, Co-I: </w:t>
            </w:r>
            <w:r w:rsidR="0040217D">
              <w:rPr>
                <w:rFonts w:ascii="Calibri" w:eastAsia="Calibri" w:hAnsi="Calibri"/>
              </w:rPr>
              <w:t xml:space="preserve">Dr </w:t>
            </w:r>
            <w:r w:rsidR="008E50F9">
              <w:t xml:space="preserve">Yiwei Tian, </w:t>
            </w:r>
            <w:r w:rsidR="0040217D">
              <w:t xml:space="preserve">Prof Gavin Andrews, </w:t>
            </w:r>
            <w:r w:rsidR="008E50F9">
              <w:t>School of Pharmacy</w:t>
            </w:r>
          </w:p>
          <w:p w14:paraId="489ED791" w14:textId="1124084E" w:rsidR="00420361" w:rsidRPr="007F3CD9" w:rsidRDefault="00420361" w:rsidP="003064F2"/>
        </w:tc>
      </w:tr>
      <w:tr w:rsidR="00420361" w14:paraId="2D0B7AA3" w14:textId="77777777" w:rsidTr="00773C9D">
        <w:trPr>
          <w:trHeight w:val="630"/>
        </w:trPr>
        <w:tc>
          <w:tcPr>
            <w:tcW w:w="1522" w:type="dxa"/>
            <w:shd w:val="clear" w:color="auto" w:fill="DEEAF6" w:themeFill="accent1" w:themeFillTint="33"/>
          </w:tcPr>
          <w:p w14:paraId="4CF47749" w14:textId="77777777" w:rsidR="00420361" w:rsidRPr="007F3CD9" w:rsidRDefault="00420361" w:rsidP="00420361">
            <w:pPr>
              <w:rPr>
                <w:b/>
              </w:rPr>
            </w:pPr>
            <w:r>
              <w:rPr>
                <w:b/>
              </w:rPr>
              <w:t>*Eligibility / residence Status</w:t>
            </w:r>
          </w:p>
        </w:tc>
        <w:tc>
          <w:tcPr>
            <w:tcW w:w="8396" w:type="dxa"/>
          </w:tcPr>
          <w:p w14:paraId="59910F79" w14:textId="737BF737" w:rsidR="00420361" w:rsidRPr="007F3CD9" w:rsidRDefault="00420361" w:rsidP="00420361">
            <w:r>
              <w:t xml:space="preserve">International Scholarship, International self-funding  </w:t>
            </w:r>
          </w:p>
        </w:tc>
      </w:tr>
      <w:tr w:rsidR="00420361" w14:paraId="113345A0" w14:textId="77777777" w:rsidTr="00773C9D">
        <w:trPr>
          <w:trHeight w:val="630"/>
        </w:trPr>
        <w:tc>
          <w:tcPr>
            <w:tcW w:w="1522" w:type="dxa"/>
            <w:shd w:val="clear" w:color="auto" w:fill="DEEAF6" w:themeFill="accent1" w:themeFillTint="33"/>
          </w:tcPr>
          <w:p w14:paraId="2C6C8559" w14:textId="77777777" w:rsidR="00420361" w:rsidRDefault="00420361" w:rsidP="00420361">
            <w:pPr>
              <w:rPr>
                <w:b/>
              </w:rPr>
            </w:pPr>
            <w:r>
              <w:rPr>
                <w:b/>
              </w:rPr>
              <w:t>Country</w:t>
            </w:r>
          </w:p>
        </w:tc>
        <w:tc>
          <w:tcPr>
            <w:tcW w:w="8396" w:type="dxa"/>
          </w:tcPr>
          <w:p w14:paraId="5A4481C5" w14:textId="20190E2C" w:rsidR="00420361" w:rsidRDefault="00420361" w:rsidP="00420361"/>
        </w:tc>
      </w:tr>
      <w:tr w:rsidR="00420361" w14:paraId="78BDF1FD" w14:textId="77777777" w:rsidTr="00773C9D">
        <w:trPr>
          <w:trHeight w:val="630"/>
        </w:trPr>
        <w:tc>
          <w:tcPr>
            <w:tcW w:w="1522" w:type="dxa"/>
            <w:shd w:val="clear" w:color="auto" w:fill="DEEAF6" w:themeFill="accent1" w:themeFillTint="33"/>
          </w:tcPr>
          <w:p w14:paraId="7702C38B" w14:textId="77777777" w:rsidR="00420361" w:rsidRDefault="00420361" w:rsidP="00420361">
            <w:pPr>
              <w:rPr>
                <w:b/>
              </w:rPr>
            </w:pPr>
            <w:r>
              <w:rPr>
                <w:b/>
              </w:rPr>
              <w:t xml:space="preserve">*Start date and duration </w:t>
            </w:r>
          </w:p>
        </w:tc>
        <w:tc>
          <w:tcPr>
            <w:tcW w:w="8396" w:type="dxa"/>
          </w:tcPr>
          <w:p w14:paraId="72C13292" w14:textId="1C2F9D3D" w:rsidR="00420361" w:rsidRDefault="00420361" w:rsidP="00420361">
            <w:r>
              <w:t>September 2022</w:t>
            </w:r>
          </w:p>
        </w:tc>
      </w:tr>
      <w:tr w:rsidR="00420361" w14:paraId="5BE00321" w14:textId="77777777" w:rsidTr="00773C9D">
        <w:trPr>
          <w:trHeight w:val="444"/>
        </w:trPr>
        <w:tc>
          <w:tcPr>
            <w:tcW w:w="1522" w:type="dxa"/>
            <w:shd w:val="clear" w:color="auto" w:fill="DEEAF6" w:themeFill="accent1" w:themeFillTint="33"/>
          </w:tcPr>
          <w:p w14:paraId="29F966EE" w14:textId="77777777" w:rsidR="00420361" w:rsidRPr="007F3CD9" w:rsidRDefault="00420361" w:rsidP="00420361">
            <w:pPr>
              <w:rPr>
                <w:b/>
              </w:rPr>
            </w:pPr>
            <w:r>
              <w:rPr>
                <w:b/>
              </w:rPr>
              <w:t>*</w:t>
            </w:r>
            <w:r w:rsidRPr="007F3CD9">
              <w:rPr>
                <w:b/>
              </w:rPr>
              <w:t>Faculty</w:t>
            </w:r>
          </w:p>
        </w:tc>
        <w:tc>
          <w:tcPr>
            <w:tcW w:w="8396" w:type="dxa"/>
          </w:tcPr>
          <w:p w14:paraId="5FEE8137" w14:textId="51E10458" w:rsidR="00420361" w:rsidRDefault="00420361" w:rsidP="00420361">
            <w:r>
              <w:t>Engineering and Physical Sciences</w:t>
            </w:r>
            <w:r w:rsidR="00502CAA">
              <w:t xml:space="preserve"> and Faculty of Medicine, Health and Life Science</w:t>
            </w:r>
          </w:p>
        </w:tc>
      </w:tr>
      <w:tr w:rsidR="00420361" w14:paraId="2FD6EA6E" w14:textId="77777777" w:rsidTr="00773C9D">
        <w:trPr>
          <w:trHeight w:val="470"/>
        </w:trPr>
        <w:tc>
          <w:tcPr>
            <w:tcW w:w="1522" w:type="dxa"/>
            <w:shd w:val="clear" w:color="auto" w:fill="DEEAF6" w:themeFill="accent1" w:themeFillTint="33"/>
          </w:tcPr>
          <w:p w14:paraId="3BE4F543" w14:textId="77777777" w:rsidR="00420361" w:rsidRPr="007F3CD9" w:rsidRDefault="00420361" w:rsidP="00420361">
            <w:pPr>
              <w:rPr>
                <w:b/>
              </w:rPr>
            </w:pPr>
            <w:r>
              <w:rPr>
                <w:b/>
              </w:rPr>
              <w:t>*</w:t>
            </w:r>
            <w:r w:rsidRPr="007F3CD9">
              <w:rPr>
                <w:b/>
              </w:rPr>
              <w:t>Research centre / School</w:t>
            </w:r>
          </w:p>
        </w:tc>
        <w:tc>
          <w:tcPr>
            <w:tcW w:w="8396" w:type="dxa"/>
          </w:tcPr>
          <w:p w14:paraId="15C86482" w14:textId="77777777" w:rsidR="00420361" w:rsidRDefault="00420361" w:rsidP="00420361">
            <w:r>
              <w:t>School of Chemistry</w:t>
            </w:r>
            <w:r w:rsidR="00CE593A">
              <w:t xml:space="preserve"> and Chemical Engineering</w:t>
            </w:r>
          </w:p>
          <w:p w14:paraId="59A1D0DF" w14:textId="46480CA9" w:rsidR="00502CAA" w:rsidRDefault="00502CAA" w:rsidP="00420361">
            <w:r>
              <w:t>School of Pharmacy</w:t>
            </w:r>
          </w:p>
        </w:tc>
      </w:tr>
      <w:tr w:rsidR="00420361" w14:paraId="7931EE40" w14:textId="77777777" w:rsidTr="00773C9D">
        <w:trPr>
          <w:trHeight w:val="470"/>
        </w:trPr>
        <w:tc>
          <w:tcPr>
            <w:tcW w:w="1522" w:type="dxa"/>
            <w:shd w:val="clear" w:color="auto" w:fill="DEEAF6" w:themeFill="accent1" w:themeFillTint="33"/>
          </w:tcPr>
          <w:p w14:paraId="62EC5B9F" w14:textId="77777777" w:rsidR="00420361" w:rsidRDefault="00420361" w:rsidP="00420361">
            <w:pPr>
              <w:rPr>
                <w:b/>
              </w:rPr>
            </w:pPr>
            <w:r>
              <w:rPr>
                <w:b/>
              </w:rPr>
              <w:lastRenderedPageBreak/>
              <w:t>Subject area</w:t>
            </w:r>
          </w:p>
        </w:tc>
        <w:tc>
          <w:tcPr>
            <w:tcW w:w="8396" w:type="dxa"/>
          </w:tcPr>
          <w:p w14:paraId="2083BE8D" w14:textId="7DE0B762" w:rsidR="00420361" w:rsidRDefault="00420361" w:rsidP="00420361"/>
        </w:tc>
      </w:tr>
      <w:tr w:rsidR="00420361" w14:paraId="4927DD08" w14:textId="77777777" w:rsidTr="00773C9D">
        <w:trPr>
          <w:trHeight w:val="444"/>
        </w:trPr>
        <w:tc>
          <w:tcPr>
            <w:tcW w:w="1522" w:type="dxa"/>
            <w:shd w:val="clear" w:color="auto" w:fill="DEEAF6" w:themeFill="accent1" w:themeFillTint="33"/>
          </w:tcPr>
          <w:p w14:paraId="0B8E14F3" w14:textId="77777777" w:rsidR="00420361" w:rsidRDefault="00420361" w:rsidP="00420361">
            <w:pPr>
              <w:rPr>
                <w:b/>
              </w:rPr>
            </w:pPr>
            <w:r>
              <w:rPr>
                <w:b/>
              </w:rPr>
              <w:t xml:space="preserve">Candidate requirements / Key skills required for the post </w:t>
            </w:r>
          </w:p>
          <w:p w14:paraId="64C65FF4" w14:textId="77777777" w:rsidR="00420361" w:rsidRPr="007F3CD9" w:rsidRDefault="00420361" w:rsidP="00420361">
            <w:pPr>
              <w:rPr>
                <w:b/>
              </w:rPr>
            </w:pPr>
          </w:p>
        </w:tc>
        <w:tc>
          <w:tcPr>
            <w:tcW w:w="8396" w:type="dxa"/>
          </w:tcPr>
          <w:p w14:paraId="295BFDE4" w14:textId="77777777" w:rsidR="00420361" w:rsidRPr="007C3A10" w:rsidRDefault="00420361" w:rsidP="00420361">
            <w:r w:rsidRPr="007C3A10">
              <w:rPr>
                <w:rFonts w:cs="Arial"/>
              </w:rPr>
              <w:t>Applicants should have a 1st or 2.1 honours degree (or equivalent) in a relevant subject. Relevant subjects include Pharmacy, Molecular Biology, Pharmaceutical Sciences, Biochemistry, Biological/Biomedical Sciences,</w:t>
            </w:r>
            <w:r>
              <w:rPr>
                <w:rFonts w:cs="Arial"/>
              </w:rPr>
              <w:t xml:space="preserve"> </w:t>
            </w:r>
            <w:r w:rsidRPr="007C3A10">
              <w:rPr>
                <w:rFonts w:cs="Arial"/>
              </w:rPr>
              <w:t>Chemistry, Engineering</w:t>
            </w:r>
            <w:r>
              <w:rPr>
                <w:rFonts w:cs="Arial"/>
              </w:rPr>
              <w:t xml:space="preserve">, or </w:t>
            </w:r>
            <w:r w:rsidRPr="007C3A10">
              <w:rPr>
                <w:rFonts w:cs="Arial"/>
              </w:rPr>
              <w:t>a closely related discipline. Students who have a 2.2 honours degree and a Master’s degree may also be considered, but the School reserves the right to shortlist for interview only those applicants who have demonstrated high academic attainment to date</w:t>
            </w:r>
          </w:p>
        </w:tc>
      </w:tr>
      <w:tr w:rsidR="00420361" w14:paraId="0165EAEE" w14:textId="77777777" w:rsidTr="00773C9D">
        <w:trPr>
          <w:trHeight w:val="444"/>
        </w:trPr>
        <w:tc>
          <w:tcPr>
            <w:tcW w:w="1522" w:type="dxa"/>
            <w:shd w:val="clear" w:color="auto" w:fill="DEEAF6" w:themeFill="accent1" w:themeFillTint="33"/>
          </w:tcPr>
          <w:p w14:paraId="19576782" w14:textId="77777777" w:rsidR="00420361" w:rsidRDefault="00420361" w:rsidP="00420361">
            <w:pPr>
              <w:rPr>
                <w:b/>
              </w:rPr>
            </w:pPr>
            <w:r>
              <w:rPr>
                <w:b/>
              </w:rPr>
              <w:t>*Deadline for applications</w:t>
            </w:r>
          </w:p>
        </w:tc>
        <w:tc>
          <w:tcPr>
            <w:tcW w:w="8396" w:type="dxa"/>
          </w:tcPr>
          <w:p w14:paraId="492A9368" w14:textId="4774DEC4" w:rsidR="00420361" w:rsidRDefault="007E7FCC" w:rsidP="00420361">
            <w:r>
              <w:t>Open all year round</w:t>
            </w:r>
          </w:p>
        </w:tc>
      </w:tr>
      <w:tr w:rsidR="00420361" w14:paraId="3DA8871F" w14:textId="77777777" w:rsidTr="00773C9D">
        <w:trPr>
          <w:trHeight w:val="444"/>
        </w:trPr>
        <w:tc>
          <w:tcPr>
            <w:tcW w:w="1522" w:type="dxa"/>
            <w:shd w:val="clear" w:color="auto" w:fill="DEEAF6" w:themeFill="accent1" w:themeFillTint="33"/>
          </w:tcPr>
          <w:p w14:paraId="3DF26063" w14:textId="77777777" w:rsidR="00420361" w:rsidRDefault="00420361" w:rsidP="00420361">
            <w:pPr>
              <w:rPr>
                <w:b/>
              </w:rPr>
            </w:pPr>
            <w:r>
              <w:rPr>
                <w:b/>
              </w:rPr>
              <w:t>*How to apply / contacts</w:t>
            </w:r>
          </w:p>
        </w:tc>
        <w:tc>
          <w:tcPr>
            <w:tcW w:w="8396" w:type="dxa"/>
          </w:tcPr>
          <w:p w14:paraId="449B5BDB" w14:textId="5F374ADC" w:rsidR="00502CAA" w:rsidRDefault="00420361" w:rsidP="00420361">
            <w:r>
              <w:t>All postgraduate r</w:t>
            </w:r>
            <w:r w:rsidRPr="007F3CD9">
              <w:t>esearch applicants</w:t>
            </w:r>
            <w:r>
              <w:t xml:space="preserve"> who are interested in the project must submit an application </w:t>
            </w:r>
            <w:r w:rsidRPr="007F3CD9">
              <w:t>all required supporting documents via</w:t>
            </w:r>
            <w:r>
              <w:t xml:space="preserve"> the Direct Applications Portal (link below)</w:t>
            </w:r>
            <w:r>
              <w:rPr>
                <w:b/>
              </w:rPr>
              <w:t xml:space="preserve">. </w:t>
            </w:r>
            <w:r>
              <w:t>Any interested applicants can informally contact Dr</w:t>
            </w:r>
            <w:r w:rsidR="00E13190">
              <w:t xml:space="preserve"> Lorenzo Stella </w:t>
            </w:r>
            <w:r w:rsidR="00502CAA">
              <w:t xml:space="preserve">and Dr Yiwei Tian </w:t>
            </w:r>
            <w:r>
              <w:t xml:space="preserve">by email at </w:t>
            </w:r>
          </w:p>
          <w:p w14:paraId="3624F967" w14:textId="77777777" w:rsidR="00502CAA" w:rsidRDefault="00502CAA" w:rsidP="00420361">
            <w:pPr>
              <w:rPr>
                <w:color w:val="FF0000"/>
              </w:rPr>
            </w:pPr>
          </w:p>
          <w:p w14:paraId="676BA328" w14:textId="171FB30F" w:rsidR="00502CAA" w:rsidRDefault="00E13190" w:rsidP="00420361">
            <w:r w:rsidRPr="00E13190">
              <w:rPr>
                <w:color w:val="FF0000"/>
              </w:rPr>
              <w:t>l.stella@qub.ac.uk</w:t>
            </w:r>
            <w:r w:rsidR="00420361">
              <w:t xml:space="preserve"> </w:t>
            </w:r>
          </w:p>
          <w:p w14:paraId="4F2E48B7" w14:textId="336FB7F7" w:rsidR="00420361" w:rsidRDefault="00502CAA" w:rsidP="00420361">
            <w:r w:rsidRPr="003064F2">
              <w:rPr>
                <w:color w:val="FF0000"/>
              </w:rPr>
              <w:t>y.tian@qub.ac.uk</w:t>
            </w:r>
            <w:r w:rsidR="00420361">
              <w:br/>
            </w:r>
          </w:p>
        </w:tc>
      </w:tr>
      <w:tr w:rsidR="00420361" w14:paraId="1E02E220" w14:textId="77777777" w:rsidTr="00773C9D">
        <w:trPr>
          <w:trHeight w:val="2715"/>
        </w:trPr>
        <w:tc>
          <w:tcPr>
            <w:tcW w:w="1522" w:type="dxa"/>
            <w:shd w:val="clear" w:color="auto" w:fill="DEEAF6" w:themeFill="accent1" w:themeFillTint="33"/>
          </w:tcPr>
          <w:p w14:paraId="055486A8" w14:textId="77777777" w:rsidR="00420361" w:rsidRPr="007F3CD9" w:rsidRDefault="00420361" w:rsidP="00420361">
            <w:pPr>
              <w:rPr>
                <w:b/>
              </w:rPr>
            </w:pPr>
            <w:r>
              <w:rPr>
                <w:b/>
              </w:rPr>
              <w:t>Relevant</w:t>
            </w:r>
            <w:r w:rsidRPr="007F3CD9">
              <w:rPr>
                <w:b/>
              </w:rPr>
              <w:t xml:space="preserve"> links </w:t>
            </w:r>
            <w:r>
              <w:rPr>
                <w:b/>
              </w:rPr>
              <w:t xml:space="preserve">/ more information </w:t>
            </w:r>
          </w:p>
          <w:p w14:paraId="16BE9F12" w14:textId="77777777" w:rsidR="00420361" w:rsidRDefault="00420361" w:rsidP="00420361"/>
        </w:tc>
        <w:tc>
          <w:tcPr>
            <w:tcW w:w="8396" w:type="dxa"/>
          </w:tcPr>
          <w:p w14:paraId="29E92652" w14:textId="77777777" w:rsidR="00420361" w:rsidRDefault="00420361" w:rsidP="00420361"/>
          <w:p w14:paraId="706FD4C7" w14:textId="77777777" w:rsidR="00420361" w:rsidRDefault="00E6435D" w:rsidP="00420361">
            <w:hyperlink r:id="rId5" w:history="1">
              <w:r w:rsidR="00420361" w:rsidRPr="00810712">
                <w:rPr>
                  <w:rStyle w:val="Hyperlink"/>
                </w:rPr>
                <w:t>http://www.qub.ac.uk/schools/SchoolofPharmacy/Research/PostgraduatePositions/</w:t>
              </w:r>
            </w:hyperlink>
          </w:p>
          <w:p w14:paraId="0D42D0F4" w14:textId="77777777" w:rsidR="00420361" w:rsidRDefault="00420361" w:rsidP="00420361"/>
          <w:p w14:paraId="5756E174" w14:textId="5D81F64B" w:rsidR="00420361" w:rsidRDefault="00E6435D" w:rsidP="00420361">
            <w:pPr>
              <w:rPr>
                <w:rStyle w:val="Hyperlink"/>
              </w:rPr>
            </w:pPr>
            <w:hyperlink r:id="rId6" w:history="1">
              <w:r w:rsidR="00420361" w:rsidRPr="00810712">
                <w:rPr>
                  <w:rStyle w:val="Hyperlink"/>
                </w:rPr>
                <w:t>http://www.qub.ac.uk/schools/SchoolofPharmacy/Research/</w:t>
              </w:r>
            </w:hyperlink>
          </w:p>
          <w:p w14:paraId="5DD27E99" w14:textId="6F4FAE3D" w:rsidR="00420361" w:rsidRDefault="00420361" w:rsidP="00420361">
            <w:pPr>
              <w:rPr>
                <w:rStyle w:val="Hyperlink"/>
              </w:rPr>
            </w:pPr>
          </w:p>
          <w:p w14:paraId="0DB27229" w14:textId="0597F427" w:rsidR="00420361" w:rsidRDefault="00E6435D" w:rsidP="00420361">
            <w:pPr>
              <w:rPr>
                <w:rStyle w:val="Hyperlink"/>
              </w:rPr>
            </w:pPr>
            <w:hyperlink r:id="rId7" w:history="1">
              <w:r w:rsidR="00502CAA" w:rsidRPr="00C8481D">
                <w:rPr>
                  <w:rStyle w:val="Hyperlink"/>
                </w:rPr>
                <w:t>https://www.qub.ac.uk/schools/SchoolofPharmacy/Research/find-a-phd-supervisor/dr-yiwei-tian.html</w:t>
              </w:r>
            </w:hyperlink>
          </w:p>
          <w:p w14:paraId="78C84CD9" w14:textId="0ACAA11A" w:rsidR="00502CAA" w:rsidRDefault="00502CAA" w:rsidP="00420361">
            <w:pPr>
              <w:rPr>
                <w:rStyle w:val="Hyperlink"/>
              </w:rPr>
            </w:pPr>
          </w:p>
          <w:p w14:paraId="78F30EDC" w14:textId="77777777" w:rsidR="00502CAA" w:rsidRDefault="00E6435D" w:rsidP="00420361">
            <w:pPr>
              <w:rPr>
                <w:rStyle w:val="Hyperlink"/>
              </w:rPr>
            </w:pPr>
            <w:hyperlink r:id="rId8" w:history="1">
              <w:r w:rsidR="00502CAA" w:rsidRPr="00C8481D">
                <w:rPr>
                  <w:rStyle w:val="Hyperlink"/>
                </w:rPr>
                <w:t>https://www.qub.ac.uk/schools/SchoolofMathematicsandPhysics/Study/PostgraduateResearch</w:t>
              </w:r>
            </w:hyperlink>
          </w:p>
          <w:p w14:paraId="1A9306A3" w14:textId="5F2065ED" w:rsidR="00502CAA" w:rsidRDefault="00502CAA" w:rsidP="00420361">
            <w:pPr>
              <w:rPr>
                <w:rStyle w:val="Hyperlink"/>
              </w:rPr>
            </w:pPr>
            <w:r w:rsidRPr="00502CAA">
              <w:rPr>
                <w:rStyle w:val="Hyperlink"/>
              </w:rPr>
              <w:t>/find-a-</w:t>
            </w:r>
            <w:proofErr w:type="spellStart"/>
            <w:r w:rsidRPr="00502CAA">
              <w:rPr>
                <w:rStyle w:val="Hyperlink"/>
              </w:rPr>
              <w:t>phd</w:t>
            </w:r>
            <w:proofErr w:type="spellEnd"/>
            <w:r w:rsidRPr="00502CAA">
              <w:rPr>
                <w:rStyle w:val="Hyperlink"/>
              </w:rPr>
              <w:t>-supervisor/dr-lorenzo-stella.html</w:t>
            </w:r>
          </w:p>
          <w:p w14:paraId="5C254CDF" w14:textId="5FB206F5" w:rsidR="00420361" w:rsidRDefault="00420361" w:rsidP="00502CAA"/>
        </w:tc>
      </w:tr>
      <w:tr w:rsidR="00420361" w14:paraId="6FA54374" w14:textId="77777777" w:rsidTr="00773C9D">
        <w:trPr>
          <w:trHeight w:val="576"/>
        </w:trPr>
        <w:tc>
          <w:tcPr>
            <w:tcW w:w="1522" w:type="dxa"/>
            <w:shd w:val="clear" w:color="auto" w:fill="DEEAF6" w:themeFill="accent1" w:themeFillTint="33"/>
          </w:tcPr>
          <w:p w14:paraId="6FA9BAAB" w14:textId="77777777" w:rsidR="00420361" w:rsidRDefault="00420361" w:rsidP="00420361">
            <w:pPr>
              <w:rPr>
                <w:b/>
              </w:rPr>
            </w:pPr>
            <w:r>
              <w:rPr>
                <w:b/>
              </w:rPr>
              <w:t>Keywords for search filters</w:t>
            </w:r>
          </w:p>
        </w:tc>
        <w:tc>
          <w:tcPr>
            <w:tcW w:w="8396" w:type="dxa"/>
          </w:tcPr>
          <w:p w14:paraId="5D6B122D" w14:textId="2A1AFC7E" w:rsidR="00420361" w:rsidRDefault="004B5BB3" w:rsidP="00420361">
            <w:r>
              <w:t xml:space="preserve">Thermodynamic modelling, advanced drug delivery, digital design, enabling formulation, nanoparticles, </w:t>
            </w:r>
            <w:r w:rsidRPr="00420361">
              <w:rPr>
                <w:rFonts w:cstheme="minorHAnsi"/>
              </w:rPr>
              <w:t>PC-SAFT</w:t>
            </w:r>
          </w:p>
        </w:tc>
      </w:tr>
      <w:tr w:rsidR="00420361" w14:paraId="46E95240" w14:textId="77777777" w:rsidTr="00773C9D">
        <w:trPr>
          <w:trHeight w:val="470"/>
        </w:trPr>
        <w:tc>
          <w:tcPr>
            <w:tcW w:w="1522" w:type="dxa"/>
            <w:shd w:val="clear" w:color="auto" w:fill="DEEAF6" w:themeFill="accent1" w:themeFillTint="33"/>
          </w:tcPr>
          <w:p w14:paraId="3219A3B1" w14:textId="77777777" w:rsidR="00420361" w:rsidRDefault="00420361" w:rsidP="00420361">
            <w:pPr>
              <w:rPr>
                <w:b/>
              </w:rPr>
            </w:pPr>
            <w:r>
              <w:rPr>
                <w:b/>
              </w:rPr>
              <w:t>Training provided through the research project</w:t>
            </w:r>
          </w:p>
        </w:tc>
        <w:tc>
          <w:tcPr>
            <w:tcW w:w="8396" w:type="dxa"/>
          </w:tcPr>
          <w:p w14:paraId="626053BC" w14:textId="7ADE664C" w:rsidR="003064F2" w:rsidRDefault="003064F2" w:rsidP="00420361">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rPr>
                <w:rFonts w:asciiTheme="minorHAnsi" w:hAnsiTheme="minorHAnsi" w:cstheme="minorHAnsi"/>
                <w:sz w:val="22"/>
                <w:szCs w:val="22"/>
                <w:u w:val="single"/>
              </w:rPr>
            </w:pPr>
            <w:r>
              <w:rPr>
                <w:rFonts w:asciiTheme="minorHAnsi" w:hAnsiTheme="minorHAnsi" w:cstheme="minorHAnsi"/>
                <w:sz w:val="22"/>
                <w:szCs w:val="22"/>
                <w:u w:val="single"/>
              </w:rPr>
              <w:t>Pharmaceuticals:</w:t>
            </w:r>
          </w:p>
          <w:p w14:paraId="5B43612A" w14:textId="1389B771" w:rsidR="003064F2" w:rsidRPr="003064F2" w:rsidRDefault="003064F2" w:rsidP="00420361">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rPr>
                <w:rFonts w:asciiTheme="minorHAnsi" w:hAnsiTheme="minorHAnsi" w:cstheme="minorHAnsi"/>
                <w:sz w:val="22"/>
                <w:szCs w:val="22"/>
              </w:rPr>
            </w:pPr>
            <w:r>
              <w:rPr>
                <w:rFonts w:asciiTheme="minorHAnsi" w:hAnsiTheme="minorHAnsi" w:cstheme="minorHAnsi"/>
                <w:sz w:val="22"/>
                <w:szCs w:val="22"/>
              </w:rPr>
              <w:t xml:space="preserve">Trainings will be provided for a wide range of instruments from spectroscopy, thermal analysis, </w:t>
            </w:r>
            <w:proofErr w:type="spellStart"/>
            <w:r>
              <w:rPr>
                <w:rFonts w:asciiTheme="minorHAnsi" w:hAnsiTheme="minorHAnsi" w:cstheme="minorHAnsi"/>
                <w:sz w:val="22"/>
                <w:szCs w:val="22"/>
              </w:rPr>
              <w:t>electromicroscopy</w:t>
            </w:r>
            <w:proofErr w:type="spellEnd"/>
            <w:r>
              <w:rPr>
                <w:rFonts w:asciiTheme="minorHAnsi" w:hAnsiTheme="minorHAnsi" w:cstheme="minorHAnsi"/>
                <w:sz w:val="22"/>
                <w:szCs w:val="22"/>
              </w:rPr>
              <w:t>, microfluidics, to a number of advanced pharmaceutical manufacturing techniques, such as tableting, hot-melt extrusion, twin-screw granulation, spray drying and 3D printing</w:t>
            </w:r>
          </w:p>
          <w:p w14:paraId="0E912CC2" w14:textId="42F3785A" w:rsidR="00420361" w:rsidRPr="005918F3" w:rsidRDefault="00420361" w:rsidP="00420361">
            <w:pPr>
              <w:pStyle w:val="Body"/>
              <w:tabs>
                <w:tab w:val="left" w:pos="567"/>
                <w:tab w:val="left" w:pos="1134"/>
                <w:tab w:val="left" w:pos="1701"/>
                <w:tab w:val="left" w:pos="2268"/>
                <w:tab w:val="left" w:pos="2835"/>
                <w:tab w:val="left" w:pos="3402"/>
                <w:tab w:val="left" w:pos="3969"/>
                <w:tab w:val="left" w:pos="4535"/>
                <w:tab w:val="left" w:pos="5102"/>
                <w:tab w:val="left" w:pos="5670"/>
                <w:tab w:val="left" w:pos="8647"/>
                <w:tab w:val="left" w:pos="9071"/>
                <w:tab w:val="left" w:pos="9638"/>
                <w:tab w:val="left" w:pos="10205"/>
                <w:tab w:val="left" w:pos="10772"/>
                <w:tab w:val="left" w:pos="11339"/>
              </w:tabs>
              <w:spacing w:after="0"/>
              <w:jc w:val="both"/>
              <w:rPr>
                <w:rFonts w:asciiTheme="minorHAnsi" w:hAnsiTheme="minorHAnsi" w:cstheme="minorHAnsi"/>
                <w:sz w:val="22"/>
                <w:szCs w:val="22"/>
              </w:rPr>
            </w:pPr>
            <w:r w:rsidRPr="005918F3">
              <w:rPr>
                <w:rFonts w:asciiTheme="minorHAnsi" w:hAnsiTheme="minorHAnsi" w:cstheme="minorHAnsi"/>
                <w:sz w:val="22"/>
                <w:szCs w:val="22"/>
                <w:u w:val="single"/>
              </w:rPr>
              <w:t>Modelling</w:t>
            </w:r>
            <w:r w:rsidRPr="005918F3">
              <w:rPr>
                <w:rFonts w:asciiTheme="minorHAnsi" w:hAnsiTheme="minorHAnsi" w:cstheme="minorHAnsi"/>
                <w:sz w:val="22"/>
                <w:szCs w:val="22"/>
              </w:rPr>
              <w:t>:</w:t>
            </w:r>
          </w:p>
          <w:p w14:paraId="02EC8650" w14:textId="3E04107E" w:rsidR="00420361" w:rsidRDefault="00420361" w:rsidP="00420361">
            <w:pPr>
              <w:jc w:val="both"/>
            </w:pPr>
            <w:r w:rsidRPr="005918F3">
              <w:rPr>
                <w:rFonts w:cstheme="minorHAnsi"/>
              </w:rPr>
              <w:t xml:space="preserve">Hand-on tutorials on finite element method </w:t>
            </w:r>
            <w:r w:rsidR="00FB0285">
              <w:rPr>
                <w:rFonts w:cstheme="minorHAnsi"/>
              </w:rPr>
              <w:t>and spectral methods to solve phase field models.</w:t>
            </w:r>
          </w:p>
        </w:tc>
      </w:tr>
      <w:tr w:rsidR="00420361" w14:paraId="731DC994" w14:textId="77777777" w:rsidTr="00773C9D">
        <w:trPr>
          <w:trHeight w:val="470"/>
        </w:trPr>
        <w:tc>
          <w:tcPr>
            <w:tcW w:w="1522" w:type="dxa"/>
            <w:shd w:val="clear" w:color="auto" w:fill="DEEAF6" w:themeFill="accent1" w:themeFillTint="33"/>
          </w:tcPr>
          <w:p w14:paraId="00053B05" w14:textId="77777777" w:rsidR="00420361" w:rsidRDefault="00420361" w:rsidP="00420361">
            <w:pPr>
              <w:rPr>
                <w:b/>
              </w:rPr>
            </w:pPr>
            <w:r>
              <w:rPr>
                <w:b/>
              </w:rPr>
              <w:t>Expected impact activities</w:t>
            </w:r>
          </w:p>
        </w:tc>
        <w:tc>
          <w:tcPr>
            <w:tcW w:w="8396" w:type="dxa"/>
          </w:tcPr>
          <w:p w14:paraId="27B558D6" w14:textId="50FC437D" w:rsidR="00420361" w:rsidRDefault="004B5BB3" w:rsidP="00420361">
            <w:pPr>
              <w:jc w:val="both"/>
            </w:pPr>
            <w:r>
              <w:t xml:space="preserve">This PhD studentship will provide the important training in </w:t>
            </w:r>
            <w:r w:rsidR="00E14027">
              <w:t xml:space="preserve">an </w:t>
            </w:r>
            <w:r>
              <w:t xml:space="preserve">interdisciplinary field </w:t>
            </w:r>
            <w:r w:rsidR="00E14027">
              <w:t>of</w:t>
            </w:r>
            <w:r>
              <w:t xml:space="preserve"> advanced modelling and nano-drug delivery</w:t>
            </w:r>
            <w:r w:rsidR="00E14027">
              <w:t xml:space="preserve">. The </w:t>
            </w:r>
            <w:r w:rsidR="00FB3509">
              <w:t>findings of this research</w:t>
            </w:r>
            <w:r w:rsidR="00E14027">
              <w:t xml:space="preserve"> will lead to invited talks and presentations at both national and international conferences</w:t>
            </w:r>
            <w:r w:rsidR="005D631A">
              <w:t>, and research articles in leading high impact journals.</w:t>
            </w:r>
          </w:p>
        </w:tc>
      </w:tr>
      <w:bookmarkEnd w:id="0"/>
    </w:tbl>
    <w:p w14:paraId="58CB29AD" w14:textId="77777777" w:rsidR="00375356" w:rsidRDefault="00375356"/>
    <w:sectPr w:rsidR="003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D9"/>
    <w:rsid w:val="00001543"/>
    <w:rsid w:val="00002F77"/>
    <w:rsid w:val="000035F4"/>
    <w:rsid w:val="000140E0"/>
    <w:rsid w:val="00017B3A"/>
    <w:rsid w:val="000211E7"/>
    <w:rsid w:val="00036AC1"/>
    <w:rsid w:val="0005207A"/>
    <w:rsid w:val="0006380D"/>
    <w:rsid w:val="0006730B"/>
    <w:rsid w:val="00074FC2"/>
    <w:rsid w:val="00076683"/>
    <w:rsid w:val="0008106D"/>
    <w:rsid w:val="00087903"/>
    <w:rsid w:val="00093ED6"/>
    <w:rsid w:val="000976C2"/>
    <w:rsid w:val="000B5232"/>
    <w:rsid w:val="000B5533"/>
    <w:rsid w:val="000C6238"/>
    <w:rsid w:val="000C7FBE"/>
    <w:rsid w:val="000D5235"/>
    <w:rsid w:val="000D526E"/>
    <w:rsid w:val="000F0B0E"/>
    <w:rsid w:val="000F380D"/>
    <w:rsid w:val="000F550F"/>
    <w:rsid w:val="000F6B4D"/>
    <w:rsid w:val="000F6C8E"/>
    <w:rsid w:val="00100C14"/>
    <w:rsid w:val="00114809"/>
    <w:rsid w:val="00120DEF"/>
    <w:rsid w:val="001215F1"/>
    <w:rsid w:val="00125BB4"/>
    <w:rsid w:val="001263F7"/>
    <w:rsid w:val="00127B6D"/>
    <w:rsid w:val="0013226E"/>
    <w:rsid w:val="00133C78"/>
    <w:rsid w:val="00136716"/>
    <w:rsid w:val="00136A7C"/>
    <w:rsid w:val="0014119A"/>
    <w:rsid w:val="00147201"/>
    <w:rsid w:val="00152845"/>
    <w:rsid w:val="00152DAA"/>
    <w:rsid w:val="00152DD3"/>
    <w:rsid w:val="00157E70"/>
    <w:rsid w:val="001757EF"/>
    <w:rsid w:val="001865C3"/>
    <w:rsid w:val="00190974"/>
    <w:rsid w:val="001976E1"/>
    <w:rsid w:val="001A466A"/>
    <w:rsid w:val="001B35A8"/>
    <w:rsid w:val="001B56F1"/>
    <w:rsid w:val="001B5748"/>
    <w:rsid w:val="001B7418"/>
    <w:rsid w:val="001B792D"/>
    <w:rsid w:val="001B7A47"/>
    <w:rsid w:val="001C09BA"/>
    <w:rsid w:val="001C15E7"/>
    <w:rsid w:val="001C36D8"/>
    <w:rsid w:val="001C59A2"/>
    <w:rsid w:val="001C6CFE"/>
    <w:rsid w:val="001D5A77"/>
    <w:rsid w:val="001E0C79"/>
    <w:rsid w:val="001E10DB"/>
    <w:rsid w:val="001E6AE7"/>
    <w:rsid w:val="001F273F"/>
    <w:rsid w:val="001F700A"/>
    <w:rsid w:val="0020192E"/>
    <w:rsid w:val="00201BD9"/>
    <w:rsid w:val="0020699C"/>
    <w:rsid w:val="002110A7"/>
    <w:rsid w:val="00211ADC"/>
    <w:rsid w:val="0023305E"/>
    <w:rsid w:val="00234A97"/>
    <w:rsid w:val="002438AA"/>
    <w:rsid w:val="0024565D"/>
    <w:rsid w:val="00246C74"/>
    <w:rsid w:val="002663D0"/>
    <w:rsid w:val="002679A5"/>
    <w:rsid w:val="00270CA4"/>
    <w:rsid w:val="00275E36"/>
    <w:rsid w:val="00276A24"/>
    <w:rsid w:val="00286380"/>
    <w:rsid w:val="00287196"/>
    <w:rsid w:val="002963E1"/>
    <w:rsid w:val="002A0180"/>
    <w:rsid w:val="002A22B2"/>
    <w:rsid w:val="002A6769"/>
    <w:rsid w:val="002A6F4F"/>
    <w:rsid w:val="002B644E"/>
    <w:rsid w:val="002B6455"/>
    <w:rsid w:val="002D10AE"/>
    <w:rsid w:val="002D30A7"/>
    <w:rsid w:val="002E0374"/>
    <w:rsid w:val="002E219E"/>
    <w:rsid w:val="002E6701"/>
    <w:rsid w:val="002F06D8"/>
    <w:rsid w:val="002F38B4"/>
    <w:rsid w:val="002F3D8F"/>
    <w:rsid w:val="00300B77"/>
    <w:rsid w:val="00303DAB"/>
    <w:rsid w:val="003064F2"/>
    <w:rsid w:val="00307A16"/>
    <w:rsid w:val="00312241"/>
    <w:rsid w:val="00315F1B"/>
    <w:rsid w:val="00317C62"/>
    <w:rsid w:val="00322E90"/>
    <w:rsid w:val="00336105"/>
    <w:rsid w:val="003375F5"/>
    <w:rsid w:val="0034159F"/>
    <w:rsid w:val="003418CF"/>
    <w:rsid w:val="00342E0B"/>
    <w:rsid w:val="003437FB"/>
    <w:rsid w:val="00346EA7"/>
    <w:rsid w:val="00347872"/>
    <w:rsid w:val="00353B81"/>
    <w:rsid w:val="0036592A"/>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1182"/>
    <w:rsid w:val="003F5DA8"/>
    <w:rsid w:val="003F716D"/>
    <w:rsid w:val="0040217D"/>
    <w:rsid w:val="00403319"/>
    <w:rsid w:val="0040602C"/>
    <w:rsid w:val="00407ED6"/>
    <w:rsid w:val="00420361"/>
    <w:rsid w:val="00420A13"/>
    <w:rsid w:val="0043514D"/>
    <w:rsid w:val="00437BE9"/>
    <w:rsid w:val="004418E8"/>
    <w:rsid w:val="00452039"/>
    <w:rsid w:val="00452AD9"/>
    <w:rsid w:val="004658F1"/>
    <w:rsid w:val="0047023E"/>
    <w:rsid w:val="0047276F"/>
    <w:rsid w:val="00480978"/>
    <w:rsid w:val="00480D4A"/>
    <w:rsid w:val="0048607D"/>
    <w:rsid w:val="004874AA"/>
    <w:rsid w:val="004A3BD0"/>
    <w:rsid w:val="004A4702"/>
    <w:rsid w:val="004B5BB3"/>
    <w:rsid w:val="004C36C5"/>
    <w:rsid w:val="004C4456"/>
    <w:rsid w:val="004C5821"/>
    <w:rsid w:val="004C6CB4"/>
    <w:rsid w:val="004D2EF5"/>
    <w:rsid w:val="004D7242"/>
    <w:rsid w:val="004E1ED1"/>
    <w:rsid w:val="004E5754"/>
    <w:rsid w:val="004E57B7"/>
    <w:rsid w:val="004F4713"/>
    <w:rsid w:val="004F57F3"/>
    <w:rsid w:val="00502C57"/>
    <w:rsid w:val="00502CAA"/>
    <w:rsid w:val="00507600"/>
    <w:rsid w:val="00527250"/>
    <w:rsid w:val="0053253B"/>
    <w:rsid w:val="00533486"/>
    <w:rsid w:val="0053628D"/>
    <w:rsid w:val="00541A46"/>
    <w:rsid w:val="00550AAE"/>
    <w:rsid w:val="00553299"/>
    <w:rsid w:val="00553AB1"/>
    <w:rsid w:val="00553C3B"/>
    <w:rsid w:val="00567EBE"/>
    <w:rsid w:val="00574D74"/>
    <w:rsid w:val="0058648B"/>
    <w:rsid w:val="00595C97"/>
    <w:rsid w:val="005A4DBD"/>
    <w:rsid w:val="005B1A39"/>
    <w:rsid w:val="005B5E39"/>
    <w:rsid w:val="005B7F83"/>
    <w:rsid w:val="005D1843"/>
    <w:rsid w:val="005D4DF9"/>
    <w:rsid w:val="005D631A"/>
    <w:rsid w:val="005E19CD"/>
    <w:rsid w:val="005E4BD6"/>
    <w:rsid w:val="005E59E9"/>
    <w:rsid w:val="005F2741"/>
    <w:rsid w:val="005F301D"/>
    <w:rsid w:val="00614685"/>
    <w:rsid w:val="00636529"/>
    <w:rsid w:val="00636A02"/>
    <w:rsid w:val="0064028D"/>
    <w:rsid w:val="00640638"/>
    <w:rsid w:val="0064387C"/>
    <w:rsid w:val="00656476"/>
    <w:rsid w:val="00657EC8"/>
    <w:rsid w:val="00663A1A"/>
    <w:rsid w:val="006815A5"/>
    <w:rsid w:val="00695F66"/>
    <w:rsid w:val="006977CC"/>
    <w:rsid w:val="006B2D8B"/>
    <w:rsid w:val="006B35DD"/>
    <w:rsid w:val="006B5E92"/>
    <w:rsid w:val="006C2131"/>
    <w:rsid w:val="006C5676"/>
    <w:rsid w:val="006C60CA"/>
    <w:rsid w:val="006C7069"/>
    <w:rsid w:val="006C778B"/>
    <w:rsid w:val="006D1994"/>
    <w:rsid w:val="006E4E27"/>
    <w:rsid w:val="006F6EA4"/>
    <w:rsid w:val="00703E40"/>
    <w:rsid w:val="00704886"/>
    <w:rsid w:val="00720F2B"/>
    <w:rsid w:val="00727F85"/>
    <w:rsid w:val="007347D4"/>
    <w:rsid w:val="0075794A"/>
    <w:rsid w:val="00757A63"/>
    <w:rsid w:val="007627E0"/>
    <w:rsid w:val="0076752E"/>
    <w:rsid w:val="0077082C"/>
    <w:rsid w:val="00771690"/>
    <w:rsid w:val="00771E79"/>
    <w:rsid w:val="0077245E"/>
    <w:rsid w:val="00773C9D"/>
    <w:rsid w:val="00776188"/>
    <w:rsid w:val="00781A8B"/>
    <w:rsid w:val="00781ED6"/>
    <w:rsid w:val="00791B40"/>
    <w:rsid w:val="00793FA5"/>
    <w:rsid w:val="007A62B0"/>
    <w:rsid w:val="007A73EB"/>
    <w:rsid w:val="007B185B"/>
    <w:rsid w:val="007B1FB4"/>
    <w:rsid w:val="007B2C32"/>
    <w:rsid w:val="007B515E"/>
    <w:rsid w:val="007B5CF8"/>
    <w:rsid w:val="007B6E4A"/>
    <w:rsid w:val="007C2974"/>
    <w:rsid w:val="007C3A10"/>
    <w:rsid w:val="007D2A36"/>
    <w:rsid w:val="007E0599"/>
    <w:rsid w:val="007E0D0E"/>
    <w:rsid w:val="007E6E7C"/>
    <w:rsid w:val="007E7FCC"/>
    <w:rsid w:val="007F3B9F"/>
    <w:rsid w:val="007F3CD9"/>
    <w:rsid w:val="007F7C74"/>
    <w:rsid w:val="008022E0"/>
    <w:rsid w:val="0081399F"/>
    <w:rsid w:val="00821CE6"/>
    <w:rsid w:val="00823089"/>
    <w:rsid w:val="00830A08"/>
    <w:rsid w:val="00835A1C"/>
    <w:rsid w:val="00836A05"/>
    <w:rsid w:val="00845949"/>
    <w:rsid w:val="0085153F"/>
    <w:rsid w:val="00854482"/>
    <w:rsid w:val="0085462F"/>
    <w:rsid w:val="00862594"/>
    <w:rsid w:val="0087029C"/>
    <w:rsid w:val="00873281"/>
    <w:rsid w:val="00880D9A"/>
    <w:rsid w:val="0088290A"/>
    <w:rsid w:val="00884B0B"/>
    <w:rsid w:val="0088648A"/>
    <w:rsid w:val="0089003B"/>
    <w:rsid w:val="00890EB8"/>
    <w:rsid w:val="008937DE"/>
    <w:rsid w:val="00893C50"/>
    <w:rsid w:val="00896381"/>
    <w:rsid w:val="00897021"/>
    <w:rsid w:val="00897BAA"/>
    <w:rsid w:val="008A002F"/>
    <w:rsid w:val="008C083D"/>
    <w:rsid w:val="008E50F9"/>
    <w:rsid w:val="008E6D29"/>
    <w:rsid w:val="008F1C24"/>
    <w:rsid w:val="008F7100"/>
    <w:rsid w:val="00925FA3"/>
    <w:rsid w:val="009279B9"/>
    <w:rsid w:val="009453CE"/>
    <w:rsid w:val="0095334C"/>
    <w:rsid w:val="00956BE2"/>
    <w:rsid w:val="00957551"/>
    <w:rsid w:val="00960566"/>
    <w:rsid w:val="0097315A"/>
    <w:rsid w:val="00981E1C"/>
    <w:rsid w:val="00982267"/>
    <w:rsid w:val="00982CC7"/>
    <w:rsid w:val="00991636"/>
    <w:rsid w:val="00993573"/>
    <w:rsid w:val="00996932"/>
    <w:rsid w:val="009B03F1"/>
    <w:rsid w:val="009B569A"/>
    <w:rsid w:val="009D2BCC"/>
    <w:rsid w:val="009D483E"/>
    <w:rsid w:val="009D4AE3"/>
    <w:rsid w:val="009F0F1A"/>
    <w:rsid w:val="009F4EDF"/>
    <w:rsid w:val="00A0196B"/>
    <w:rsid w:val="00A05C2D"/>
    <w:rsid w:val="00A131B2"/>
    <w:rsid w:val="00A14FEA"/>
    <w:rsid w:val="00A24586"/>
    <w:rsid w:val="00A2502A"/>
    <w:rsid w:val="00A2514A"/>
    <w:rsid w:val="00A30D12"/>
    <w:rsid w:val="00A3441A"/>
    <w:rsid w:val="00A354B3"/>
    <w:rsid w:val="00A404C0"/>
    <w:rsid w:val="00A4488B"/>
    <w:rsid w:val="00A51E47"/>
    <w:rsid w:val="00A53D5A"/>
    <w:rsid w:val="00A61746"/>
    <w:rsid w:val="00A63CD4"/>
    <w:rsid w:val="00A768A4"/>
    <w:rsid w:val="00A907D7"/>
    <w:rsid w:val="00A90948"/>
    <w:rsid w:val="00A946F0"/>
    <w:rsid w:val="00AA53C1"/>
    <w:rsid w:val="00AB1FFD"/>
    <w:rsid w:val="00AB4CB5"/>
    <w:rsid w:val="00AB72A5"/>
    <w:rsid w:val="00AB76CD"/>
    <w:rsid w:val="00AC07AE"/>
    <w:rsid w:val="00AC1FE9"/>
    <w:rsid w:val="00AD429E"/>
    <w:rsid w:val="00AD6DB6"/>
    <w:rsid w:val="00AE15FE"/>
    <w:rsid w:val="00AF3133"/>
    <w:rsid w:val="00AF78E5"/>
    <w:rsid w:val="00B030A3"/>
    <w:rsid w:val="00B071EB"/>
    <w:rsid w:val="00B07BDF"/>
    <w:rsid w:val="00B1507C"/>
    <w:rsid w:val="00B160F9"/>
    <w:rsid w:val="00B16E01"/>
    <w:rsid w:val="00B21B3C"/>
    <w:rsid w:val="00B25E6E"/>
    <w:rsid w:val="00B27846"/>
    <w:rsid w:val="00B359EF"/>
    <w:rsid w:val="00B363F2"/>
    <w:rsid w:val="00B40805"/>
    <w:rsid w:val="00B40C54"/>
    <w:rsid w:val="00B4262C"/>
    <w:rsid w:val="00B42F58"/>
    <w:rsid w:val="00B44FF9"/>
    <w:rsid w:val="00B47154"/>
    <w:rsid w:val="00B5079E"/>
    <w:rsid w:val="00B50BAC"/>
    <w:rsid w:val="00B55E28"/>
    <w:rsid w:val="00B6354C"/>
    <w:rsid w:val="00B703CE"/>
    <w:rsid w:val="00BA71ED"/>
    <w:rsid w:val="00BB6F08"/>
    <w:rsid w:val="00BC2944"/>
    <w:rsid w:val="00BD017F"/>
    <w:rsid w:val="00BE346B"/>
    <w:rsid w:val="00BF08BD"/>
    <w:rsid w:val="00BF17EC"/>
    <w:rsid w:val="00BF4B26"/>
    <w:rsid w:val="00BF57DC"/>
    <w:rsid w:val="00C12418"/>
    <w:rsid w:val="00C2183A"/>
    <w:rsid w:val="00C263B0"/>
    <w:rsid w:val="00C31A8A"/>
    <w:rsid w:val="00C3441B"/>
    <w:rsid w:val="00C428CF"/>
    <w:rsid w:val="00C50D2D"/>
    <w:rsid w:val="00C519E9"/>
    <w:rsid w:val="00C57CF9"/>
    <w:rsid w:val="00C6334C"/>
    <w:rsid w:val="00C66B4F"/>
    <w:rsid w:val="00C7500B"/>
    <w:rsid w:val="00C861B6"/>
    <w:rsid w:val="00C876DB"/>
    <w:rsid w:val="00C912B9"/>
    <w:rsid w:val="00C938C4"/>
    <w:rsid w:val="00CA2E64"/>
    <w:rsid w:val="00CA351A"/>
    <w:rsid w:val="00CA3E08"/>
    <w:rsid w:val="00CA70D8"/>
    <w:rsid w:val="00CB3D31"/>
    <w:rsid w:val="00CC02B2"/>
    <w:rsid w:val="00CC767D"/>
    <w:rsid w:val="00CD4D50"/>
    <w:rsid w:val="00CE1429"/>
    <w:rsid w:val="00CE50BE"/>
    <w:rsid w:val="00CE593A"/>
    <w:rsid w:val="00CE6CFB"/>
    <w:rsid w:val="00D00807"/>
    <w:rsid w:val="00D0311E"/>
    <w:rsid w:val="00D113D5"/>
    <w:rsid w:val="00D11B48"/>
    <w:rsid w:val="00D1708D"/>
    <w:rsid w:val="00D23483"/>
    <w:rsid w:val="00D31D29"/>
    <w:rsid w:val="00D367BF"/>
    <w:rsid w:val="00D5030D"/>
    <w:rsid w:val="00D533B2"/>
    <w:rsid w:val="00D5690F"/>
    <w:rsid w:val="00D57854"/>
    <w:rsid w:val="00D64E36"/>
    <w:rsid w:val="00D804A3"/>
    <w:rsid w:val="00D80D41"/>
    <w:rsid w:val="00D82FEF"/>
    <w:rsid w:val="00D91A1F"/>
    <w:rsid w:val="00DA3F99"/>
    <w:rsid w:val="00DB009E"/>
    <w:rsid w:val="00DB437C"/>
    <w:rsid w:val="00DB450E"/>
    <w:rsid w:val="00DB709B"/>
    <w:rsid w:val="00DC5B83"/>
    <w:rsid w:val="00DD1D77"/>
    <w:rsid w:val="00DD6932"/>
    <w:rsid w:val="00DE3E0F"/>
    <w:rsid w:val="00DF148B"/>
    <w:rsid w:val="00E11BB2"/>
    <w:rsid w:val="00E13190"/>
    <w:rsid w:val="00E14027"/>
    <w:rsid w:val="00E166B5"/>
    <w:rsid w:val="00E177D8"/>
    <w:rsid w:val="00E2148C"/>
    <w:rsid w:val="00E27D11"/>
    <w:rsid w:val="00E33DAC"/>
    <w:rsid w:val="00E35E2D"/>
    <w:rsid w:val="00E36870"/>
    <w:rsid w:val="00E41AE4"/>
    <w:rsid w:val="00E42C6C"/>
    <w:rsid w:val="00E44D18"/>
    <w:rsid w:val="00E455CC"/>
    <w:rsid w:val="00E471FE"/>
    <w:rsid w:val="00E5373D"/>
    <w:rsid w:val="00E55956"/>
    <w:rsid w:val="00E618A6"/>
    <w:rsid w:val="00E62BE0"/>
    <w:rsid w:val="00E6435D"/>
    <w:rsid w:val="00E720D9"/>
    <w:rsid w:val="00E721FA"/>
    <w:rsid w:val="00E731E0"/>
    <w:rsid w:val="00E76C26"/>
    <w:rsid w:val="00EA02F6"/>
    <w:rsid w:val="00EA0D01"/>
    <w:rsid w:val="00EA70C2"/>
    <w:rsid w:val="00EB3D85"/>
    <w:rsid w:val="00EC4DE0"/>
    <w:rsid w:val="00EC505E"/>
    <w:rsid w:val="00ED21A7"/>
    <w:rsid w:val="00ED5C21"/>
    <w:rsid w:val="00EE11D1"/>
    <w:rsid w:val="00EE14CB"/>
    <w:rsid w:val="00EE3B21"/>
    <w:rsid w:val="00EE5C5D"/>
    <w:rsid w:val="00EE693D"/>
    <w:rsid w:val="00EF23A4"/>
    <w:rsid w:val="00EF271B"/>
    <w:rsid w:val="00F1151C"/>
    <w:rsid w:val="00F156AD"/>
    <w:rsid w:val="00F2645B"/>
    <w:rsid w:val="00F276FA"/>
    <w:rsid w:val="00F333AB"/>
    <w:rsid w:val="00F376E8"/>
    <w:rsid w:val="00F41521"/>
    <w:rsid w:val="00F45400"/>
    <w:rsid w:val="00F52902"/>
    <w:rsid w:val="00F53AD2"/>
    <w:rsid w:val="00F61002"/>
    <w:rsid w:val="00F73D4A"/>
    <w:rsid w:val="00F74680"/>
    <w:rsid w:val="00F76DAC"/>
    <w:rsid w:val="00F81886"/>
    <w:rsid w:val="00F82BDB"/>
    <w:rsid w:val="00F848EA"/>
    <w:rsid w:val="00F90DB4"/>
    <w:rsid w:val="00FA546D"/>
    <w:rsid w:val="00FB0285"/>
    <w:rsid w:val="00FB3233"/>
    <w:rsid w:val="00FB3509"/>
    <w:rsid w:val="00FB6942"/>
    <w:rsid w:val="00FC08F5"/>
    <w:rsid w:val="00FC2092"/>
    <w:rsid w:val="00FC4575"/>
    <w:rsid w:val="00FD0D59"/>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38590"/>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styleId="CommentReference">
    <w:name w:val="annotation reference"/>
    <w:basedOn w:val="DefaultParagraphFont"/>
    <w:uiPriority w:val="99"/>
    <w:semiHidden/>
    <w:unhideWhenUsed/>
    <w:rsid w:val="002963E1"/>
    <w:rPr>
      <w:sz w:val="18"/>
      <w:szCs w:val="18"/>
    </w:rPr>
  </w:style>
  <w:style w:type="paragraph" w:styleId="CommentText">
    <w:name w:val="annotation text"/>
    <w:basedOn w:val="Normal"/>
    <w:link w:val="CommentTextChar"/>
    <w:uiPriority w:val="99"/>
    <w:semiHidden/>
    <w:unhideWhenUsed/>
    <w:rsid w:val="002963E1"/>
    <w:pPr>
      <w:spacing w:after="0" w:line="240" w:lineRule="auto"/>
    </w:pPr>
    <w:rPr>
      <w:rFonts w:ascii="Arial" w:eastAsia="Times New Roman" w:hAnsi="Arial" w:cs="Times New Roman"/>
      <w:sz w:val="24"/>
      <w:szCs w:val="24"/>
    </w:rPr>
  </w:style>
  <w:style w:type="character" w:customStyle="1" w:styleId="CommentTextChar">
    <w:name w:val="Comment Text Char"/>
    <w:basedOn w:val="DefaultParagraphFont"/>
    <w:link w:val="CommentText"/>
    <w:uiPriority w:val="99"/>
    <w:semiHidden/>
    <w:rsid w:val="002963E1"/>
    <w:rPr>
      <w:rFonts w:ascii="Arial" w:eastAsia="Times New Roman" w:hAnsi="Arial" w:cs="Times New Roman"/>
      <w:sz w:val="24"/>
      <w:szCs w:val="24"/>
    </w:rPr>
  </w:style>
  <w:style w:type="paragraph" w:styleId="Header">
    <w:name w:val="header"/>
    <w:basedOn w:val="Normal"/>
    <w:link w:val="HeaderChar"/>
    <w:rsid w:val="002963E1"/>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963E1"/>
    <w:rPr>
      <w:rFonts w:ascii="Times New Roman" w:eastAsia="Times New Roman" w:hAnsi="Times New Roman" w:cs="Times New Roman"/>
      <w:sz w:val="20"/>
      <w:szCs w:val="20"/>
    </w:rPr>
  </w:style>
  <w:style w:type="paragraph" w:customStyle="1" w:styleId="Body">
    <w:name w:val="Body"/>
    <w:rsid w:val="002963E1"/>
    <w:pPr>
      <w:spacing w:after="240" w:line="240" w:lineRule="auto"/>
    </w:pPr>
    <w:rPr>
      <w:rFonts w:ascii="Helvetica" w:eastAsia="ヒラギノ角ゴ Pro W3" w:hAnsi="Helvetica" w:cs="Times New Roman"/>
      <w:color w:val="000000"/>
      <w:sz w:val="24"/>
      <w:szCs w:val="20"/>
      <w:lang w:val="en-US"/>
    </w:rPr>
  </w:style>
  <w:style w:type="paragraph" w:styleId="CommentSubject">
    <w:name w:val="annotation subject"/>
    <w:basedOn w:val="CommentText"/>
    <w:next w:val="CommentText"/>
    <w:link w:val="CommentSubjectChar"/>
    <w:uiPriority w:val="99"/>
    <w:semiHidden/>
    <w:unhideWhenUsed/>
    <w:rsid w:val="00201BD9"/>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201BD9"/>
    <w:rPr>
      <w:rFonts w:ascii="Arial" w:eastAsia="Times New Roman" w:hAnsi="Arial" w:cs="Times New Roman"/>
      <w:b/>
      <w:bCs/>
      <w:sz w:val="20"/>
      <w:szCs w:val="20"/>
    </w:rPr>
  </w:style>
  <w:style w:type="paragraph" w:customStyle="1" w:styleId="TableParagraph">
    <w:name w:val="Table Paragraph"/>
    <w:basedOn w:val="Normal"/>
    <w:uiPriority w:val="1"/>
    <w:qFormat/>
    <w:rsid w:val="00AB1FFD"/>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73C9D"/>
    <w:rPr>
      <w:color w:val="605E5C"/>
      <w:shd w:val="clear" w:color="auto" w:fill="E1DFDD"/>
    </w:rPr>
  </w:style>
  <w:style w:type="character" w:styleId="Strong">
    <w:name w:val="Strong"/>
    <w:basedOn w:val="DefaultParagraphFont"/>
    <w:uiPriority w:val="22"/>
    <w:qFormat/>
    <w:rsid w:val="00246C74"/>
    <w:rPr>
      <w:b/>
      <w:bCs/>
    </w:rPr>
  </w:style>
  <w:style w:type="character" w:customStyle="1" w:styleId="UnresolvedMention">
    <w:name w:val="Unresolved Mention"/>
    <w:basedOn w:val="DefaultParagraphFont"/>
    <w:uiPriority w:val="99"/>
    <w:semiHidden/>
    <w:unhideWhenUsed/>
    <w:rsid w:val="0050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b.ac.uk/schools/SchoolofMathematicsandPhysics/Study/PostgraduateResearch" TargetMode="External"/><Relationship Id="rId3" Type="http://schemas.openxmlformats.org/officeDocument/2006/relationships/settings" Target="settings.xml"/><Relationship Id="rId7" Type="http://schemas.openxmlformats.org/officeDocument/2006/relationships/hyperlink" Target="https://www.qub.ac.uk/schools/SchoolofPharmacy/Research/find-a-phd-supervisor/dr-yiwei-ti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qub.ac.uk/schools/SchoolofPharmacy/Research/" TargetMode="External"/><Relationship Id="rId5" Type="http://schemas.openxmlformats.org/officeDocument/2006/relationships/hyperlink" Target="http://www.qub.ac.uk/schools/SchoolofPharmacy/Research/PostgraduatePos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Adam Ringland</cp:lastModifiedBy>
  <cp:revision>23</cp:revision>
  <dcterms:created xsi:type="dcterms:W3CDTF">2022-01-11T22:48:00Z</dcterms:created>
  <dcterms:modified xsi:type="dcterms:W3CDTF">2022-02-01T11:31:00Z</dcterms:modified>
</cp:coreProperties>
</file>