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3DAC" w14:textId="5C7C8E4C" w:rsidR="002E0374" w:rsidRDefault="007F3CD9" w:rsidP="007F3CD9">
      <w:pPr>
        <w:pStyle w:val="Heading1"/>
      </w:pPr>
      <w:r>
        <w:t>PGR Studentship Information Template</w:t>
      </w:r>
      <w:r w:rsidR="00B44FF9">
        <w:t xml:space="preserve"> 20</w:t>
      </w:r>
      <w:r w:rsidR="00B4262C">
        <w:t>2</w:t>
      </w:r>
      <w:r w:rsidR="00B071EB">
        <w:t>2</w:t>
      </w:r>
      <w:r w:rsidR="00695F66">
        <w:t xml:space="preserve"> entry</w:t>
      </w:r>
    </w:p>
    <w:p w14:paraId="4B5BAD7D" w14:textId="77777777" w:rsidR="007F3CD9" w:rsidRDefault="007F3CD9"/>
    <w:p w14:paraId="171B66DF" w14:textId="77777777" w:rsidR="00695F66" w:rsidRDefault="00695F66" w:rsidP="00695F66">
      <w:pPr>
        <w:pStyle w:val="ListParagraph"/>
        <w:numPr>
          <w:ilvl w:val="0"/>
          <w:numId w:val="1"/>
        </w:numPr>
      </w:pPr>
      <w:r>
        <w:t xml:space="preserve">Please complete the template with as much information as possible. </w:t>
      </w:r>
    </w:p>
    <w:p w14:paraId="11463BB3" w14:textId="77777777" w:rsidR="001976E1" w:rsidRDefault="00695F66" w:rsidP="00695F66">
      <w:pPr>
        <w:pStyle w:val="ListParagraph"/>
        <w:numPr>
          <w:ilvl w:val="0"/>
          <w:numId w:val="1"/>
        </w:numPr>
      </w:pPr>
      <w:r>
        <w:t>*</w:t>
      </w:r>
      <w:proofErr w:type="gramStart"/>
      <w:r>
        <w:t>fields</w:t>
      </w:r>
      <w:proofErr w:type="gramEnd"/>
      <w:r>
        <w:t xml:space="preserve"> are essential.</w:t>
      </w:r>
    </w:p>
    <w:p w14:paraId="4E6D0ED4" w14:textId="77777777" w:rsidR="00695F66" w:rsidRDefault="00695F66" w:rsidP="00695F66">
      <w:pPr>
        <w:pStyle w:val="ListParagraph"/>
        <w:numPr>
          <w:ilvl w:val="0"/>
          <w:numId w:val="1"/>
        </w:numPr>
      </w:pPr>
      <w:r>
        <w:t xml:space="preserve">If you have information that does not have a </w:t>
      </w:r>
      <w:r w:rsidR="00BA71ED">
        <w:t>l</w:t>
      </w:r>
      <w:r w:rsidR="00957551">
        <w:t>abel</w:t>
      </w:r>
      <w:r>
        <w:t xml:space="preserve">, please create a new row in the table for it. </w:t>
      </w:r>
    </w:p>
    <w:p w14:paraId="48DEBBD3" w14:textId="77777777" w:rsidR="001976E1" w:rsidRDefault="001976E1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522"/>
        <w:gridCol w:w="8396"/>
      </w:tblGrid>
      <w:tr w:rsidR="007E0599" w14:paraId="470BFEBC" w14:textId="77777777" w:rsidTr="00773C9D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23D85B35" w14:textId="77777777" w:rsidR="007E0599" w:rsidRPr="007F3CD9" w:rsidRDefault="007E0599" w:rsidP="007E0599">
            <w:pPr>
              <w:rPr>
                <w:b/>
              </w:rPr>
            </w:pPr>
            <w:r>
              <w:rPr>
                <w:b/>
              </w:rPr>
              <w:t>*</w:t>
            </w:r>
            <w:r w:rsidRPr="007F3CD9">
              <w:rPr>
                <w:b/>
              </w:rPr>
              <w:t>Title of studentship</w:t>
            </w:r>
          </w:p>
        </w:tc>
        <w:tc>
          <w:tcPr>
            <w:tcW w:w="8396" w:type="dxa"/>
          </w:tcPr>
          <w:p w14:paraId="55E6E039" w14:textId="4FEC7F06" w:rsidR="001B5748" w:rsidRDefault="00D2453D" w:rsidP="00452AD9">
            <w:r>
              <w:t>Novel</w:t>
            </w:r>
            <w:r w:rsidRPr="00D2453D">
              <w:t xml:space="preserve"> </w:t>
            </w:r>
            <w:proofErr w:type="gramStart"/>
            <w:r w:rsidRPr="00D2453D">
              <w:t>poly(</w:t>
            </w:r>
            <w:proofErr w:type="gramEnd"/>
            <w:r w:rsidRPr="00D2453D">
              <w:t xml:space="preserve">acrylic acid) complexes for </w:t>
            </w:r>
            <w:r>
              <w:t>enantio</w:t>
            </w:r>
            <w:r w:rsidRPr="00D2453D">
              <w:t xml:space="preserve">selective </w:t>
            </w:r>
            <w:r>
              <w:t xml:space="preserve">drug </w:t>
            </w:r>
            <w:r w:rsidRPr="00D2453D">
              <w:t xml:space="preserve">delivery and </w:t>
            </w:r>
            <w:r>
              <w:t xml:space="preserve">chiral </w:t>
            </w:r>
            <w:r w:rsidRPr="00D2453D">
              <w:t>separation</w:t>
            </w:r>
          </w:p>
          <w:p w14:paraId="3E2FB3A8" w14:textId="50187900" w:rsidR="00D2453D" w:rsidRDefault="00D2453D" w:rsidP="00452AD9"/>
        </w:tc>
      </w:tr>
      <w:tr w:rsidR="007E0599" w14:paraId="31C3D3B2" w14:textId="77777777" w:rsidTr="00773C9D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32384FCF" w14:textId="77777777" w:rsidR="007E0599" w:rsidRPr="007F3CD9" w:rsidRDefault="007E0599" w:rsidP="007E0599">
            <w:pPr>
              <w:rPr>
                <w:b/>
              </w:rPr>
            </w:pPr>
            <w:r w:rsidRPr="007F3CD9">
              <w:rPr>
                <w:b/>
              </w:rPr>
              <w:t>Value</w:t>
            </w:r>
            <w:r>
              <w:rPr>
                <w:b/>
              </w:rPr>
              <w:t xml:space="preserve"> / what is covered? </w:t>
            </w:r>
          </w:p>
        </w:tc>
        <w:tc>
          <w:tcPr>
            <w:tcW w:w="8396" w:type="dxa"/>
          </w:tcPr>
          <w:p w14:paraId="6995C56D" w14:textId="7C94C266" w:rsidR="007E0599" w:rsidRDefault="00D2453D" w:rsidP="00317C62">
            <w:r>
              <w:t>No funding is currently available; however, we welcome self-funded applications</w:t>
            </w:r>
          </w:p>
        </w:tc>
      </w:tr>
      <w:tr w:rsidR="007E0599" w14:paraId="694401E5" w14:textId="77777777" w:rsidTr="00773C9D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409D191F" w14:textId="77777777" w:rsidR="007E0599" w:rsidRPr="007F3CD9" w:rsidRDefault="007E0599" w:rsidP="007E0599">
            <w:pPr>
              <w:rPr>
                <w:b/>
              </w:rPr>
            </w:pPr>
            <w:r w:rsidRPr="007F3CD9">
              <w:rPr>
                <w:b/>
              </w:rPr>
              <w:t>Awarding body</w:t>
            </w:r>
          </w:p>
        </w:tc>
        <w:tc>
          <w:tcPr>
            <w:tcW w:w="8396" w:type="dxa"/>
          </w:tcPr>
          <w:p w14:paraId="65D9A2B6" w14:textId="0855F05E" w:rsidR="007E0599" w:rsidRDefault="00A74479" w:rsidP="007E0599">
            <w:r>
              <w:t>N/A</w:t>
            </w:r>
          </w:p>
        </w:tc>
      </w:tr>
      <w:tr w:rsidR="007E0599" w14:paraId="5E50BAF4" w14:textId="77777777" w:rsidTr="00773C9D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7109AFF7" w14:textId="77777777" w:rsidR="007E0599" w:rsidRPr="007F3CD9" w:rsidRDefault="007E0599" w:rsidP="007E0599">
            <w:pPr>
              <w:rPr>
                <w:b/>
              </w:rPr>
            </w:pPr>
            <w:r w:rsidRPr="007F3CD9">
              <w:rPr>
                <w:b/>
              </w:rPr>
              <w:t>Number of studentships</w:t>
            </w:r>
          </w:p>
        </w:tc>
        <w:tc>
          <w:tcPr>
            <w:tcW w:w="8396" w:type="dxa"/>
          </w:tcPr>
          <w:p w14:paraId="1BB087A6" w14:textId="63C69324" w:rsidR="007E0599" w:rsidRDefault="0047473B" w:rsidP="007E0599">
            <w:r>
              <w:t>1</w:t>
            </w:r>
          </w:p>
        </w:tc>
      </w:tr>
      <w:tr w:rsidR="003F1182" w14:paraId="67E34D74" w14:textId="77777777" w:rsidTr="00773C9D">
        <w:trPr>
          <w:trHeight w:val="1412"/>
        </w:trPr>
        <w:tc>
          <w:tcPr>
            <w:tcW w:w="1522" w:type="dxa"/>
            <w:shd w:val="clear" w:color="auto" w:fill="DEEAF6" w:themeFill="accent1" w:themeFillTint="33"/>
          </w:tcPr>
          <w:p w14:paraId="5A20FFB3" w14:textId="77777777" w:rsidR="003F1182" w:rsidRPr="007F3CD9" w:rsidRDefault="003F1182" w:rsidP="003F1182">
            <w:pPr>
              <w:rPr>
                <w:b/>
              </w:rPr>
            </w:pPr>
            <w:r>
              <w:rPr>
                <w:b/>
              </w:rPr>
              <w:t>*</w:t>
            </w:r>
            <w:r w:rsidRPr="007F3CD9">
              <w:rPr>
                <w:b/>
              </w:rPr>
              <w:t xml:space="preserve">Summary </w:t>
            </w:r>
            <w:r>
              <w:rPr>
                <w:b/>
              </w:rPr>
              <w:t xml:space="preserve">descriptive </w:t>
            </w:r>
            <w:r w:rsidRPr="007F3CD9">
              <w:rPr>
                <w:b/>
              </w:rPr>
              <w:t>text</w:t>
            </w:r>
            <w:r>
              <w:rPr>
                <w:b/>
              </w:rPr>
              <w:t xml:space="preserve"> / Example of research project </w:t>
            </w:r>
          </w:p>
        </w:tc>
        <w:tc>
          <w:tcPr>
            <w:tcW w:w="8396" w:type="dxa"/>
          </w:tcPr>
          <w:p w14:paraId="5E1C0521" w14:textId="1C0245D3" w:rsidR="003F1182" w:rsidRDefault="00611CA5" w:rsidP="00B071EB">
            <w:proofErr w:type="gramStart"/>
            <w:r>
              <w:t>P</w:t>
            </w:r>
            <w:r w:rsidRPr="00611CA5">
              <w:t>oly(</w:t>
            </w:r>
            <w:proofErr w:type="gramEnd"/>
            <w:r w:rsidRPr="00611CA5">
              <w:t xml:space="preserve">acrylic acid)s </w:t>
            </w:r>
            <w:r w:rsidR="00382320">
              <w:t xml:space="preserve">(PAA) </w:t>
            </w:r>
            <w:r>
              <w:t>are</w:t>
            </w:r>
            <w:r w:rsidRPr="00611CA5">
              <w:t xml:space="preserve"> widely used as emulsifiers, suspending agents and viscosity enhancers within the pharmaceutical, cosmetic and food industries owing to their low cost and </w:t>
            </w:r>
            <w:r>
              <w:t>excellent safety profile</w:t>
            </w:r>
            <w:r w:rsidRPr="00611CA5">
              <w:t xml:space="preserve"> when </w:t>
            </w:r>
            <w:r>
              <w:t>administered</w:t>
            </w:r>
            <w:r w:rsidRPr="00611CA5">
              <w:t xml:space="preserve"> orally or applied topically. They are generally used in the form of viscous colloidal dispersions (gels) prepared by neutralising a 0.1 to 5% w/w aqueous solution with a</w:t>
            </w:r>
            <w:r>
              <w:t>n</w:t>
            </w:r>
            <w:r w:rsidRPr="00611CA5">
              <w:t xml:space="preserve"> alkali. In principle, amines having a suitable </w:t>
            </w:r>
            <w:proofErr w:type="spellStart"/>
            <w:r w:rsidRPr="00611CA5">
              <w:t>pK</w:t>
            </w:r>
            <w:r w:rsidRPr="00611CA5">
              <w:rPr>
                <w:vertAlign w:val="subscript"/>
              </w:rPr>
              <w:t>a</w:t>
            </w:r>
            <w:proofErr w:type="spellEnd"/>
            <w:r w:rsidRPr="00611CA5">
              <w:t xml:space="preserve"> value </w:t>
            </w:r>
            <w:r w:rsidR="00382320">
              <w:t xml:space="preserve">are </w:t>
            </w:r>
            <w:r w:rsidRPr="00611CA5">
              <w:t>also capable of neutralising these systems (Scheme 1); in practice, only a relatively small number of achiral amines</w:t>
            </w:r>
            <w:r w:rsidR="00C6086C">
              <w:t xml:space="preserve"> – </w:t>
            </w:r>
            <w:r w:rsidRPr="00611CA5">
              <w:t>such as stearyl amine and triethanolamine</w:t>
            </w:r>
            <w:r w:rsidR="00C6086C">
              <w:t xml:space="preserve"> –</w:t>
            </w:r>
            <w:r w:rsidRPr="00611CA5">
              <w:t xml:space="preserve"> have been investigated. </w:t>
            </w:r>
            <w:r w:rsidR="00382320">
              <w:t>PAA</w:t>
            </w:r>
            <w:r w:rsidRPr="00611CA5">
              <w:t xml:space="preserve"> systems neutralised with chiral amines have yet to be </w:t>
            </w:r>
            <w:r w:rsidR="00FF3879">
              <w:t>investigated</w:t>
            </w:r>
            <w:r w:rsidRPr="00611CA5">
              <w:t>.</w:t>
            </w:r>
            <w:r w:rsidR="00382320">
              <w:t xml:space="preserve"> Chiral </w:t>
            </w:r>
            <w:r w:rsidR="00FF3879">
              <w:t xml:space="preserve">PAA </w:t>
            </w:r>
            <w:r w:rsidR="00382320">
              <w:t xml:space="preserve">gel formulations prepared in this fashion have potential applications in </w:t>
            </w:r>
            <w:r w:rsidR="00EC684B">
              <w:t xml:space="preserve">various aspects of </w:t>
            </w:r>
            <w:r w:rsidR="00382320">
              <w:t>drug delivery (e.g., for selective administration of one enantiomeric form of a drug from a racemic mixture) and development of new</w:t>
            </w:r>
            <w:r w:rsidR="00EC684B">
              <w:t xml:space="preserve"> low-cost</w:t>
            </w:r>
            <w:r w:rsidR="00382320">
              <w:t xml:space="preserve"> chiral separation strategies. </w:t>
            </w:r>
          </w:p>
          <w:p w14:paraId="6813AD88" w14:textId="77777777" w:rsidR="00611CA5" w:rsidRDefault="00611CA5" w:rsidP="00B071EB"/>
          <w:p w14:paraId="3AEA8EF3" w14:textId="26CAF4D1" w:rsidR="00611CA5" w:rsidRDefault="00611CA5" w:rsidP="008C448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1EBC82" wp14:editId="7C6AA625">
                  <wp:extent cx="4680173" cy="258949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6454" cy="2626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053656" w14:textId="77777777" w:rsidR="00611CA5" w:rsidRDefault="00611CA5" w:rsidP="00B071EB"/>
          <w:p w14:paraId="2B75DCF6" w14:textId="77777777" w:rsidR="00611CA5" w:rsidRPr="00382320" w:rsidRDefault="00611CA5" w:rsidP="00B071EB">
            <w:pPr>
              <w:rPr>
                <w:sz w:val="20"/>
                <w:szCs w:val="20"/>
              </w:rPr>
            </w:pPr>
            <w:r w:rsidRPr="00382320">
              <w:rPr>
                <w:b/>
                <w:bCs/>
                <w:sz w:val="20"/>
                <w:szCs w:val="20"/>
              </w:rPr>
              <w:t>Scheme 1.</w:t>
            </w:r>
            <w:r w:rsidRPr="00382320">
              <w:rPr>
                <w:sz w:val="20"/>
                <w:szCs w:val="20"/>
              </w:rPr>
              <w:t xml:space="preserve"> Top – standard neutralisation method to form viscous </w:t>
            </w:r>
            <w:proofErr w:type="gramStart"/>
            <w:r w:rsidRPr="00382320">
              <w:rPr>
                <w:sz w:val="20"/>
                <w:szCs w:val="20"/>
              </w:rPr>
              <w:t>poly(</w:t>
            </w:r>
            <w:proofErr w:type="gramEnd"/>
            <w:r w:rsidRPr="00382320">
              <w:rPr>
                <w:sz w:val="20"/>
                <w:szCs w:val="20"/>
              </w:rPr>
              <w:t>acrylic acid) gels; Bottom – proposed use of chiral amines to prepare chiral poly(acrylic acid) gels with potential application in drug delivery and separation</w:t>
            </w:r>
            <w:r w:rsidR="00382320" w:rsidRPr="00382320">
              <w:rPr>
                <w:sz w:val="20"/>
                <w:szCs w:val="20"/>
              </w:rPr>
              <w:t xml:space="preserve"> methods.</w:t>
            </w:r>
            <w:r w:rsidRPr="00382320">
              <w:rPr>
                <w:sz w:val="20"/>
                <w:szCs w:val="20"/>
              </w:rPr>
              <w:t xml:space="preserve"> </w:t>
            </w:r>
          </w:p>
          <w:p w14:paraId="224CF08F" w14:textId="77777777" w:rsidR="00382320" w:rsidRDefault="00382320" w:rsidP="00B071EB"/>
          <w:p w14:paraId="3F98A337" w14:textId="24756AD9" w:rsidR="00FF3879" w:rsidRDefault="00382320" w:rsidP="00C6086C">
            <w:r>
              <w:t xml:space="preserve">This project </w:t>
            </w:r>
            <w:r w:rsidR="00EC684B">
              <w:t xml:space="preserve">– </w:t>
            </w:r>
            <w:r w:rsidR="00FF3879">
              <w:t>involv</w:t>
            </w:r>
            <w:r w:rsidR="00EC684B">
              <w:t>ing</w:t>
            </w:r>
            <w:r>
              <w:t xml:space="preserve"> a partn</w:t>
            </w:r>
            <w:r w:rsidR="00FF3879">
              <w:t>ership between leading researchers in the School of Pharmacy and the School</w:t>
            </w:r>
            <w:r>
              <w:t xml:space="preserve"> </w:t>
            </w:r>
            <w:r w:rsidR="00FF3879">
              <w:t xml:space="preserve">of Chemistry and Chemical Engineering at the </w:t>
            </w:r>
            <w:r w:rsidR="00FF3879" w:rsidRPr="00FF3879">
              <w:t>Queen's University Belfast</w:t>
            </w:r>
            <w:r w:rsidR="00EC684B">
              <w:t xml:space="preserve"> – will </w:t>
            </w:r>
            <w:r w:rsidR="00C6086C">
              <w:t>expose the</w:t>
            </w:r>
            <w:r w:rsidR="00EC684B">
              <w:t xml:space="preserve"> successful applicant </w:t>
            </w:r>
            <w:r w:rsidR="00C6086C">
              <w:t xml:space="preserve">to a diverse range of skills and </w:t>
            </w:r>
            <w:proofErr w:type="gramStart"/>
            <w:r w:rsidR="00C6086C">
              <w:t xml:space="preserve">techniques  </w:t>
            </w:r>
            <w:r w:rsidR="00EC684B">
              <w:t>a</w:t>
            </w:r>
            <w:r w:rsidR="00C6086C">
              <w:t>cross</w:t>
            </w:r>
            <w:proofErr w:type="gramEnd"/>
            <w:r w:rsidR="00C6086C">
              <w:t xml:space="preserve"> </w:t>
            </w:r>
            <w:r w:rsidR="00EC684B">
              <w:t xml:space="preserve">the </w:t>
            </w:r>
            <w:r w:rsidR="00FF3879">
              <w:t xml:space="preserve">disciplines of chemistry, polymer science, </w:t>
            </w:r>
            <w:r w:rsidR="00EC684B">
              <w:t xml:space="preserve">analytical chemistry, </w:t>
            </w:r>
            <w:r w:rsidR="00FF3879">
              <w:t xml:space="preserve">drug delivery and the pharmaceutical sciences. </w:t>
            </w:r>
            <w:r w:rsidR="00EC684B">
              <w:t xml:space="preserve">For example, </w:t>
            </w:r>
            <w:r w:rsidR="00A03637">
              <w:t xml:space="preserve">techniques such </w:t>
            </w:r>
            <w:r w:rsidR="00EC684B">
              <w:t>solid state nuclear magnetic resonance spectroscopy (</w:t>
            </w:r>
            <w:r w:rsidR="008C4487">
              <w:t>SS-</w:t>
            </w:r>
            <w:r w:rsidR="00EC684B">
              <w:t>NMR)</w:t>
            </w:r>
            <w:r w:rsidR="00C6086C">
              <w:t xml:space="preserve">, </w:t>
            </w:r>
            <w:r w:rsidR="00EC684B">
              <w:t>high performance liquid chromatography</w:t>
            </w:r>
            <w:r w:rsidR="00A03637">
              <w:t xml:space="preserve"> (HPLC), oscillatory rheology and circular dichroism spectroscopy</w:t>
            </w:r>
            <w:r w:rsidR="00C6086C">
              <w:t xml:space="preserve"> </w:t>
            </w:r>
            <w:r w:rsidR="00EC684B">
              <w:t>will be used</w:t>
            </w:r>
            <w:r w:rsidR="00C6086C">
              <w:t xml:space="preserve"> extensively</w:t>
            </w:r>
            <w:r w:rsidR="00EC684B">
              <w:t xml:space="preserve"> to characterise the chiral gels and assess </w:t>
            </w:r>
            <w:r w:rsidR="00A03637">
              <w:t xml:space="preserve">enantioselective </w:t>
            </w:r>
            <w:r w:rsidR="00C6086C">
              <w:t>drug</w:t>
            </w:r>
            <w:r w:rsidR="00EC684B">
              <w:t xml:space="preserve"> release.</w:t>
            </w:r>
          </w:p>
          <w:p w14:paraId="237558FB" w14:textId="20A6F1D8" w:rsidR="00C6086C" w:rsidRDefault="00C6086C" w:rsidP="00C6086C"/>
        </w:tc>
      </w:tr>
      <w:tr w:rsidR="003F1182" w14:paraId="10C0BBE2" w14:textId="77777777" w:rsidTr="00773C9D">
        <w:trPr>
          <w:trHeight w:val="625"/>
        </w:trPr>
        <w:tc>
          <w:tcPr>
            <w:tcW w:w="1522" w:type="dxa"/>
            <w:shd w:val="clear" w:color="auto" w:fill="DEEAF6" w:themeFill="accent1" w:themeFillTint="33"/>
          </w:tcPr>
          <w:p w14:paraId="161F44CB" w14:textId="77777777" w:rsidR="003F1182" w:rsidRDefault="003F1182" w:rsidP="003F1182">
            <w:pPr>
              <w:rPr>
                <w:b/>
              </w:rPr>
            </w:pPr>
            <w:r>
              <w:rPr>
                <w:b/>
              </w:rPr>
              <w:lastRenderedPageBreak/>
              <w:t>*Supervisor(s)</w:t>
            </w:r>
          </w:p>
        </w:tc>
        <w:tc>
          <w:tcPr>
            <w:tcW w:w="8396" w:type="dxa"/>
          </w:tcPr>
          <w:p w14:paraId="63337550" w14:textId="77777777" w:rsidR="003F1182" w:rsidRDefault="00712E00" w:rsidP="00897021">
            <w:r>
              <w:t>Prof. Karl Malcolm – School of Pharmacy</w:t>
            </w:r>
          </w:p>
          <w:p w14:paraId="489ED791" w14:textId="4ED7F7BE" w:rsidR="00712E00" w:rsidRPr="007F3CD9" w:rsidRDefault="00712E00" w:rsidP="00897021">
            <w:r>
              <w:t>Dr Panagiotis Manesiotis – School of Chemistry and Chemical Engineering</w:t>
            </w:r>
          </w:p>
        </w:tc>
      </w:tr>
      <w:tr w:rsidR="003F1182" w14:paraId="2D0B7AA3" w14:textId="77777777" w:rsidTr="00773C9D">
        <w:trPr>
          <w:trHeight w:val="630"/>
        </w:trPr>
        <w:tc>
          <w:tcPr>
            <w:tcW w:w="1522" w:type="dxa"/>
            <w:shd w:val="clear" w:color="auto" w:fill="DEEAF6" w:themeFill="accent1" w:themeFillTint="33"/>
          </w:tcPr>
          <w:p w14:paraId="4CF47749" w14:textId="77777777" w:rsidR="003F1182" w:rsidRPr="007F3CD9" w:rsidRDefault="003F1182" w:rsidP="003F1182">
            <w:pPr>
              <w:rPr>
                <w:b/>
              </w:rPr>
            </w:pPr>
            <w:r>
              <w:rPr>
                <w:b/>
              </w:rPr>
              <w:t>*Eligibility / residence Status</w:t>
            </w:r>
          </w:p>
        </w:tc>
        <w:tc>
          <w:tcPr>
            <w:tcW w:w="8396" w:type="dxa"/>
          </w:tcPr>
          <w:p w14:paraId="59910F79" w14:textId="2C87B7CD" w:rsidR="003F1182" w:rsidRPr="007F3CD9" w:rsidRDefault="00B5079E" w:rsidP="003F1182">
            <w:r>
              <w:t xml:space="preserve">International </w:t>
            </w:r>
            <w:r w:rsidR="00D2453D">
              <w:t xml:space="preserve">applicants; </w:t>
            </w:r>
            <w:r>
              <w:t xml:space="preserve">self-funding </w:t>
            </w:r>
            <w:r w:rsidR="00D2453D">
              <w:t>applicants</w:t>
            </w:r>
            <w:r w:rsidR="00773C9D">
              <w:t xml:space="preserve"> </w:t>
            </w:r>
          </w:p>
        </w:tc>
      </w:tr>
      <w:tr w:rsidR="003F1182" w14:paraId="113345A0" w14:textId="77777777" w:rsidTr="00773C9D">
        <w:trPr>
          <w:trHeight w:val="630"/>
        </w:trPr>
        <w:tc>
          <w:tcPr>
            <w:tcW w:w="1522" w:type="dxa"/>
            <w:shd w:val="clear" w:color="auto" w:fill="DEEAF6" w:themeFill="accent1" w:themeFillTint="33"/>
          </w:tcPr>
          <w:p w14:paraId="2C6C8559" w14:textId="77777777" w:rsidR="003F1182" w:rsidRDefault="003F1182" w:rsidP="003F1182">
            <w:pPr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8396" w:type="dxa"/>
          </w:tcPr>
          <w:p w14:paraId="5A4481C5" w14:textId="0793EBF6" w:rsidR="003F1182" w:rsidRDefault="00D2453D" w:rsidP="003F1182">
            <w:r>
              <w:t>Worldwide</w:t>
            </w:r>
          </w:p>
        </w:tc>
      </w:tr>
      <w:tr w:rsidR="003F1182" w14:paraId="78BDF1FD" w14:textId="77777777" w:rsidTr="00773C9D">
        <w:trPr>
          <w:trHeight w:val="630"/>
        </w:trPr>
        <w:tc>
          <w:tcPr>
            <w:tcW w:w="1522" w:type="dxa"/>
            <w:shd w:val="clear" w:color="auto" w:fill="DEEAF6" w:themeFill="accent1" w:themeFillTint="33"/>
          </w:tcPr>
          <w:p w14:paraId="7702C38B" w14:textId="77777777" w:rsidR="003F1182" w:rsidRDefault="003F1182" w:rsidP="003F1182">
            <w:pPr>
              <w:rPr>
                <w:b/>
              </w:rPr>
            </w:pPr>
            <w:r>
              <w:rPr>
                <w:b/>
              </w:rPr>
              <w:t xml:space="preserve">*Start date and duration </w:t>
            </w:r>
          </w:p>
        </w:tc>
        <w:tc>
          <w:tcPr>
            <w:tcW w:w="8396" w:type="dxa"/>
          </w:tcPr>
          <w:p w14:paraId="72C13292" w14:textId="1A99330B" w:rsidR="003F1182" w:rsidRDefault="00B071EB" w:rsidP="003F1182">
            <w:r>
              <w:t>September 2022</w:t>
            </w:r>
            <w:r w:rsidR="00712E00">
              <w:t xml:space="preserve"> – three years</w:t>
            </w:r>
          </w:p>
        </w:tc>
      </w:tr>
      <w:tr w:rsidR="003F1182" w14:paraId="5BE00321" w14:textId="77777777" w:rsidTr="00773C9D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29F966EE" w14:textId="77777777" w:rsidR="003F1182" w:rsidRPr="007F3CD9" w:rsidRDefault="003F1182" w:rsidP="003F1182">
            <w:pPr>
              <w:rPr>
                <w:b/>
              </w:rPr>
            </w:pPr>
            <w:r>
              <w:rPr>
                <w:b/>
              </w:rPr>
              <w:t>*</w:t>
            </w:r>
            <w:r w:rsidRPr="007F3CD9">
              <w:rPr>
                <w:b/>
              </w:rPr>
              <w:t>Faculty</w:t>
            </w:r>
          </w:p>
        </w:tc>
        <w:tc>
          <w:tcPr>
            <w:tcW w:w="8396" w:type="dxa"/>
          </w:tcPr>
          <w:p w14:paraId="5FEE8137" w14:textId="6F3BA4DC" w:rsidR="003F1182" w:rsidRDefault="00773C9D" w:rsidP="003F1182">
            <w:r>
              <w:t>Medicine Health and Life Sciences</w:t>
            </w:r>
            <w:r w:rsidR="00452AD9">
              <w:t xml:space="preserve"> / Engineering and Physical Sciences </w:t>
            </w:r>
          </w:p>
        </w:tc>
      </w:tr>
      <w:tr w:rsidR="003F1182" w14:paraId="2FD6EA6E" w14:textId="77777777" w:rsidTr="00773C9D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3BE4F543" w14:textId="77777777" w:rsidR="003F1182" w:rsidRPr="007F3CD9" w:rsidRDefault="003F1182" w:rsidP="003F1182">
            <w:pPr>
              <w:rPr>
                <w:b/>
              </w:rPr>
            </w:pPr>
            <w:r>
              <w:rPr>
                <w:b/>
              </w:rPr>
              <w:t>*</w:t>
            </w:r>
            <w:r w:rsidRPr="007F3CD9">
              <w:rPr>
                <w:b/>
              </w:rPr>
              <w:t>Research centre / School</w:t>
            </w:r>
          </w:p>
        </w:tc>
        <w:tc>
          <w:tcPr>
            <w:tcW w:w="8396" w:type="dxa"/>
          </w:tcPr>
          <w:p w14:paraId="59A1D0DF" w14:textId="05EFCD9D" w:rsidR="003F1182" w:rsidRDefault="00317C62" w:rsidP="003F1182">
            <w:r>
              <w:t>School of Pharmacy</w:t>
            </w:r>
            <w:r w:rsidR="00452AD9">
              <w:t xml:space="preserve"> / School of Chemistry</w:t>
            </w:r>
            <w:r w:rsidR="005C3D5A">
              <w:t xml:space="preserve"> and Chemical Engineering</w:t>
            </w:r>
          </w:p>
        </w:tc>
      </w:tr>
      <w:tr w:rsidR="003F1182" w14:paraId="7931EE40" w14:textId="77777777" w:rsidTr="00773C9D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62EC5B9F" w14:textId="77777777" w:rsidR="003F1182" w:rsidRDefault="003F1182" w:rsidP="003F1182">
            <w:pPr>
              <w:rPr>
                <w:b/>
              </w:rPr>
            </w:pPr>
            <w:r>
              <w:rPr>
                <w:b/>
              </w:rPr>
              <w:t>Subject area</w:t>
            </w:r>
          </w:p>
        </w:tc>
        <w:tc>
          <w:tcPr>
            <w:tcW w:w="8396" w:type="dxa"/>
          </w:tcPr>
          <w:p w14:paraId="2083BE8D" w14:textId="7B58A6A2" w:rsidR="003F1182" w:rsidRDefault="00712E00" w:rsidP="003F1182">
            <w:r>
              <w:t>Drug Delivery, Materials Science, Analytical Chemistry</w:t>
            </w:r>
          </w:p>
        </w:tc>
      </w:tr>
      <w:tr w:rsidR="003F1182" w14:paraId="4927DD08" w14:textId="77777777" w:rsidTr="00773C9D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0B8E14F3" w14:textId="77777777" w:rsidR="003F1182" w:rsidRDefault="003F1182" w:rsidP="003F1182">
            <w:pPr>
              <w:rPr>
                <w:b/>
              </w:rPr>
            </w:pPr>
            <w:r>
              <w:rPr>
                <w:b/>
              </w:rPr>
              <w:t xml:space="preserve">Candidate requirements / Key skills required for the post </w:t>
            </w:r>
          </w:p>
          <w:p w14:paraId="64C65FF4" w14:textId="77777777" w:rsidR="003F1182" w:rsidRPr="007F3CD9" w:rsidRDefault="003F1182" w:rsidP="003F1182">
            <w:pPr>
              <w:rPr>
                <w:b/>
              </w:rPr>
            </w:pPr>
          </w:p>
        </w:tc>
        <w:tc>
          <w:tcPr>
            <w:tcW w:w="8396" w:type="dxa"/>
          </w:tcPr>
          <w:p w14:paraId="44B0480E" w14:textId="4790CDCA" w:rsidR="003F1182" w:rsidRDefault="003F1182" w:rsidP="003F1182">
            <w:pPr>
              <w:rPr>
                <w:rFonts w:cs="Arial"/>
              </w:rPr>
            </w:pPr>
            <w:r w:rsidRPr="007C3A10">
              <w:rPr>
                <w:rFonts w:cs="Arial"/>
              </w:rPr>
              <w:t>Applicants should have a 1st or 2.1 honours degree (or equivalent) in a relevant subject. Relevant subjects include Pharmacy, Molecular Biology, Pharmaceutical Sciences, Biochemistry, Biological/Biomedical Sciences,</w:t>
            </w:r>
            <w:r>
              <w:rPr>
                <w:rFonts w:cs="Arial"/>
              </w:rPr>
              <w:t xml:space="preserve"> </w:t>
            </w:r>
            <w:r w:rsidRPr="007C3A10">
              <w:rPr>
                <w:rFonts w:cs="Arial"/>
              </w:rPr>
              <w:t>Chemistry, Engineering</w:t>
            </w:r>
            <w:r>
              <w:rPr>
                <w:rFonts w:cs="Arial"/>
              </w:rPr>
              <w:t xml:space="preserve">, or </w:t>
            </w:r>
            <w:r w:rsidRPr="007C3A10">
              <w:rPr>
                <w:rFonts w:cs="Arial"/>
              </w:rPr>
              <w:t xml:space="preserve">a closely related discipline. Students who have a 2.2 honours degree and a </w:t>
            </w:r>
            <w:proofErr w:type="gramStart"/>
            <w:r w:rsidRPr="007C3A10">
              <w:rPr>
                <w:rFonts w:cs="Arial"/>
              </w:rPr>
              <w:t>Master’s</w:t>
            </w:r>
            <w:proofErr w:type="gramEnd"/>
            <w:r w:rsidRPr="007C3A10">
              <w:rPr>
                <w:rFonts w:cs="Arial"/>
              </w:rPr>
              <w:t xml:space="preserve"> degree may also be considered, but the School reserves the right to shortlist for interview only those applicants who have demonstrated high academic attainment to date</w:t>
            </w:r>
            <w:r w:rsidR="008C4487">
              <w:rPr>
                <w:rFonts w:cs="Arial"/>
              </w:rPr>
              <w:t>.</w:t>
            </w:r>
          </w:p>
          <w:p w14:paraId="295BFDE4" w14:textId="7867E45A" w:rsidR="00A74479" w:rsidRPr="007C3A10" w:rsidRDefault="00A74479" w:rsidP="003F1182"/>
        </w:tc>
      </w:tr>
      <w:tr w:rsidR="003F1182" w14:paraId="0165EAEE" w14:textId="77777777" w:rsidTr="00773C9D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19576782" w14:textId="77777777" w:rsidR="003F1182" w:rsidRDefault="003F1182" w:rsidP="003F1182">
            <w:pPr>
              <w:rPr>
                <w:b/>
              </w:rPr>
            </w:pPr>
            <w:r>
              <w:rPr>
                <w:b/>
              </w:rPr>
              <w:t>*Deadline for applications</w:t>
            </w:r>
          </w:p>
        </w:tc>
        <w:tc>
          <w:tcPr>
            <w:tcW w:w="8396" w:type="dxa"/>
          </w:tcPr>
          <w:p w14:paraId="492A9368" w14:textId="2C3DDE12" w:rsidR="003F1182" w:rsidRDefault="00C64E53" w:rsidP="003F1182">
            <w:r>
              <w:t>31 March 2022</w:t>
            </w:r>
          </w:p>
        </w:tc>
      </w:tr>
      <w:tr w:rsidR="003F1182" w14:paraId="3DA8871F" w14:textId="77777777" w:rsidTr="00773C9D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3DF26063" w14:textId="77777777" w:rsidR="003F1182" w:rsidRDefault="003F1182" w:rsidP="003F1182">
            <w:pPr>
              <w:rPr>
                <w:b/>
              </w:rPr>
            </w:pPr>
            <w:r>
              <w:rPr>
                <w:b/>
              </w:rPr>
              <w:t>*How to apply / contacts</w:t>
            </w:r>
          </w:p>
        </w:tc>
        <w:tc>
          <w:tcPr>
            <w:tcW w:w="8396" w:type="dxa"/>
          </w:tcPr>
          <w:p w14:paraId="62209E10" w14:textId="77777777" w:rsidR="005302E0" w:rsidRDefault="00B5079E" w:rsidP="003F1182">
            <w:pPr>
              <w:rPr>
                <w:b/>
              </w:rPr>
            </w:pPr>
            <w:r>
              <w:t>All postgraduate r</w:t>
            </w:r>
            <w:r w:rsidR="003F1182" w:rsidRPr="007F3CD9">
              <w:t>esearch applicants</w:t>
            </w:r>
            <w:r w:rsidR="003F1182">
              <w:t xml:space="preserve"> </w:t>
            </w:r>
            <w:r>
              <w:t>who are interested in the project</w:t>
            </w:r>
            <w:r w:rsidR="00B25E6E">
              <w:t xml:space="preserve"> must </w:t>
            </w:r>
            <w:proofErr w:type="gramStart"/>
            <w:r w:rsidR="00B25E6E">
              <w:t xml:space="preserve">submit an application </w:t>
            </w:r>
            <w:r w:rsidR="00B25E6E" w:rsidRPr="007F3CD9">
              <w:t>all</w:t>
            </w:r>
            <w:proofErr w:type="gramEnd"/>
            <w:r w:rsidR="00B25E6E" w:rsidRPr="007F3CD9">
              <w:t xml:space="preserve"> required supporting documents</w:t>
            </w:r>
            <w:r w:rsidR="003F1182" w:rsidRPr="007F3CD9">
              <w:t xml:space="preserve"> via</w:t>
            </w:r>
            <w:r w:rsidR="00B25E6E">
              <w:t xml:space="preserve"> the Direct A</w:t>
            </w:r>
            <w:r w:rsidR="00452AD9">
              <w:t>pplications Portal (link below)</w:t>
            </w:r>
            <w:r w:rsidR="005302E0">
              <w:t>.</w:t>
            </w:r>
            <w:r w:rsidR="00B25E6E">
              <w:rPr>
                <w:b/>
              </w:rPr>
              <w:t xml:space="preserve"> </w:t>
            </w:r>
          </w:p>
          <w:p w14:paraId="367F5B81" w14:textId="77777777" w:rsidR="005302E0" w:rsidRDefault="005302E0" w:rsidP="003F1182"/>
          <w:p w14:paraId="16688B16" w14:textId="185CADAC" w:rsidR="003F1182" w:rsidRPr="00B25E6E" w:rsidRDefault="00B25E6E" w:rsidP="003F1182">
            <w:r>
              <w:t xml:space="preserve">Any interested applicants can informally contact </w:t>
            </w:r>
            <w:hyperlink r:id="rId6" w:history="1">
              <w:r w:rsidR="00452AD9" w:rsidRPr="00487869">
                <w:rPr>
                  <w:rStyle w:val="Hyperlink"/>
                </w:rPr>
                <w:t>Prof.</w:t>
              </w:r>
              <w:r w:rsidRPr="00487869">
                <w:rPr>
                  <w:rStyle w:val="Hyperlink"/>
                </w:rPr>
                <w:t xml:space="preserve"> </w:t>
              </w:r>
              <w:r w:rsidR="00C03ADA">
                <w:rPr>
                  <w:rStyle w:val="Hyperlink"/>
                </w:rPr>
                <w:t xml:space="preserve">K. </w:t>
              </w:r>
              <w:r w:rsidR="00487869" w:rsidRPr="00487869">
                <w:rPr>
                  <w:rStyle w:val="Hyperlink"/>
                </w:rPr>
                <w:t>Malcolm</w:t>
              </w:r>
            </w:hyperlink>
            <w:r w:rsidR="00487869">
              <w:t xml:space="preserve"> or </w:t>
            </w:r>
            <w:hyperlink r:id="rId7" w:history="1">
              <w:r w:rsidR="00487869" w:rsidRPr="00C03ADA">
                <w:rPr>
                  <w:rStyle w:val="Hyperlink"/>
                </w:rPr>
                <w:t xml:space="preserve">Dr </w:t>
              </w:r>
              <w:r w:rsidR="00C03ADA" w:rsidRPr="00C03ADA">
                <w:rPr>
                  <w:rStyle w:val="Hyperlink"/>
                </w:rPr>
                <w:t xml:space="preserve">P. </w:t>
              </w:r>
              <w:r w:rsidR="00487869" w:rsidRPr="00C03ADA">
                <w:rPr>
                  <w:rStyle w:val="Hyperlink"/>
                </w:rPr>
                <w:t>Manesiotis</w:t>
              </w:r>
            </w:hyperlink>
            <w:r w:rsidR="00452AD9">
              <w:t xml:space="preserve"> </w:t>
            </w:r>
            <w:r>
              <w:t>by email</w:t>
            </w:r>
            <w:r w:rsidR="00C03ADA">
              <w:t>.</w:t>
            </w:r>
          </w:p>
          <w:p w14:paraId="43AC971F" w14:textId="77777777" w:rsidR="003F1182" w:rsidRDefault="003F1182" w:rsidP="003F1182"/>
          <w:p w14:paraId="4F2E48B7" w14:textId="77777777" w:rsidR="003F1182" w:rsidRDefault="008C4487" w:rsidP="003F1182">
            <w:hyperlink r:id="rId8" w:history="1">
              <w:r w:rsidR="003F1182" w:rsidRPr="00920649">
                <w:rPr>
                  <w:rStyle w:val="Hyperlink"/>
                </w:rPr>
                <w:t>https://dap.qub.ac.uk/portal/user/u_login.php</w:t>
              </w:r>
            </w:hyperlink>
            <w:r w:rsidR="003F1182">
              <w:t xml:space="preserve"> </w:t>
            </w:r>
            <w:r w:rsidR="003F1182">
              <w:br/>
            </w:r>
          </w:p>
        </w:tc>
      </w:tr>
      <w:tr w:rsidR="003F1182" w14:paraId="1E02E220" w14:textId="77777777" w:rsidTr="00773C9D">
        <w:trPr>
          <w:trHeight w:val="2715"/>
        </w:trPr>
        <w:tc>
          <w:tcPr>
            <w:tcW w:w="1522" w:type="dxa"/>
            <w:shd w:val="clear" w:color="auto" w:fill="DEEAF6" w:themeFill="accent1" w:themeFillTint="33"/>
          </w:tcPr>
          <w:p w14:paraId="055486A8" w14:textId="77777777" w:rsidR="003F1182" w:rsidRPr="007F3CD9" w:rsidRDefault="003F1182" w:rsidP="003F1182">
            <w:pPr>
              <w:rPr>
                <w:b/>
              </w:rPr>
            </w:pPr>
            <w:r>
              <w:rPr>
                <w:b/>
              </w:rPr>
              <w:lastRenderedPageBreak/>
              <w:t>Relevant</w:t>
            </w:r>
            <w:r w:rsidRPr="007F3CD9">
              <w:rPr>
                <w:b/>
              </w:rPr>
              <w:t xml:space="preserve"> links </w:t>
            </w:r>
            <w:r>
              <w:rPr>
                <w:b/>
              </w:rPr>
              <w:t xml:space="preserve">/ more information </w:t>
            </w:r>
          </w:p>
          <w:p w14:paraId="16BE9F12" w14:textId="77777777" w:rsidR="003F1182" w:rsidRDefault="003F1182" w:rsidP="003F1182"/>
        </w:tc>
        <w:tc>
          <w:tcPr>
            <w:tcW w:w="8396" w:type="dxa"/>
          </w:tcPr>
          <w:p w14:paraId="29E92652" w14:textId="77777777" w:rsidR="003F1182" w:rsidRDefault="003F1182" w:rsidP="003F1182"/>
          <w:p w14:paraId="706FD4C7" w14:textId="77777777" w:rsidR="003F1182" w:rsidRDefault="008C4487" w:rsidP="003F1182">
            <w:hyperlink r:id="rId9" w:history="1">
              <w:r w:rsidR="003F1182" w:rsidRPr="00810712">
                <w:rPr>
                  <w:rStyle w:val="Hyperlink"/>
                </w:rPr>
                <w:t>http://www.qub.ac.uk/schools/SchoolofPharmacy/Research/PostgraduatePositions/</w:t>
              </w:r>
            </w:hyperlink>
          </w:p>
          <w:p w14:paraId="0D42D0F4" w14:textId="77777777" w:rsidR="003F1182" w:rsidRDefault="003F1182" w:rsidP="003F1182"/>
          <w:p w14:paraId="3F4267A9" w14:textId="77777777" w:rsidR="003F1182" w:rsidRDefault="008C4487" w:rsidP="00535E84">
            <w:pPr>
              <w:rPr>
                <w:rStyle w:val="Hyperlink"/>
              </w:rPr>
            </w:pPr>
            <w:hyperlink r:id="rId10" w:history="1">
              <w:r w:rsidR="003F1182" w:rsidRPr="00810712">
                <w:rPr>
                  <w:rStyle w:val="Hyperlink"/>
                </w:rPr>
                <w:t>http://www.qub.ac.uk/schools/SchoolofPharmacy/Research/</w:t>
              </w:r>
            </w:hyperlink>
          </w:p>
          <w:p w14:paraId="2A4384D4" w14:textId="77777777" w:rsidR="00373607" w:rsidRDefault="00373607" w:rsidP="00535E84">
            <w:pPr>
              <w:rPr>
                <w:rStyle w:val="Hyperlink"/>
              </w:rPr>
            </w:pPr>
          </w:p>
          <w:p w14:paraId="18DC6880" w14:textId="2E400EB2" w:rsidR="002A4543" w:rsidRDefault="008C4487" w:rsidP="00535E84">
            <w:pPr>
              <w:rPr>
                <w:rStyle w:val="Hyperlink"/>
              </w:rPr>
            </w:pPr>
            <w:hyperlink r:id="rId11" w:history="1">
              <w:r w:rsidR="002A4543" w:rsidRPr="002D7C07">
                <w:rPr>
                  <w:rStyle w:val="Hyperlink"/>
                </w:rPr>
                <w:t>https://www.qub.ac.uk/schools/SchoolofChemistryandChemicalEngineering/Study</w:t>
              </w:r>
            </w:hyperlink>
          </w:p>
          <w:p w14:paraId="74D07BE9" w14:textId="05C605E2" w:rsidR="00373607" w:rsidRDefault="00373607" w:rsidP="00535E84">
            <w:pPr>
              <w:rPr>
                <w:color w:val="0563C1" w:themeColor="hyperlink"/>
                <w:u w:val="single"/>
              </w:rPr>
            </w:pPr>
            <w:r w:rsidRPr="002A4543">
              <w:rPr>
                <w:color w:val="0563C1" w:themeColor="hyperlink"/>
                <w:u w:val="single"/>
              </w:rPr>
              <w:t>/</w:t>
            </w:r>
            <w:proofErr w:type="spellStart"/>
            <w:r w:rsidRPr="002A4543">
              <w:rPr>
                <w:color w:val="0563C1" w:themeColor="hyperlink"/>
                <w:u w:val="single"/>
              </w:rPr>
              <w:t>PostgraduateResearch</w:t>
            </w:r>
            <w:proofErr w:type="spellEnd"/>
            <w:r w:rsidRPr="002A4543">
              <w:rPr>
                <w:color w:val="0563C1" w:themeColor="hyperlink"/>
                <w:u w:val="single"/>
              </w:rPr>
              <w:t>/</w:t>
            </w:r>
            <w:proofErr w:type="spellStart"/>
            <w:r w:rsidRPr="002A4543">
              <w:rPr>
                <w:color w:val="0563C1" w:themeColor="hyperlink"/>
                <w:u w:val="single"/>
              </w:rPr>
              <w:t>PhDOpportunities</w:t>
            </w:r>
            <w:proofErr w:type="spellEnd"/>
            <w:r w:rsidRPr="002A4543">
              <w:rPr>
                <w:color w:val="0563C1" w:themeColor="hyperlink"/>
                <w:u w:val="single"/>
              </w:rPr>
              <w:t>/</w:t>
            </w:r>
          </w:p>
          <w:p w14:paraId="7839A74C" w14:textId="77777777" w:rsidR="00373607" w:rsidRDefault="00373607" w:rsidP="00535E84">
            <w:pPr>
              <w:rPr>
                <w:color w:val="0563C1" w:themeColor="hyperlink"/>
                <w:u w:val="single"/>
              </w:rPr>
            </w:pPr>
          </w:p>
          <w:p w14:paraId="33C50491" w14:textId="6BA8EC66" w:rsidR="00BE3687" w:rsidRDefault="00BE3687" w:rsidP="00535E84">
            <w:pPr>
              <w:rPr>
                <w:color w:val="0563C1" w:themeColor="hyperlink"/>
                <w:u w:val="single"/>
              </w:rPr>
            </w:pPr>
            <w:r w:rsidRPr="00BE3687">
              <w:rPr>
                <w:color w:val="0563C1" w:themeColor="hyperlink"/>
                <w:u w:val="single"/>
              </w:rPr>
              <w:t>https://www.qub.ac.uk/schools/SchoolofPharmacy/Research/find-a-phd-supervisor/professor-karl-malcolm.html</w:t>
            </w:r>
          </w:p>
          <w:p w14:paraId="2E04A4DC" w14:textId="77777777" w:rsidR="00BE3687" w:rsidRDefault="00BE3687" w:rsidP="00535E84">
            <w:pPr>
              <w:rPr>
                <w:color w:val="0563C1" w:themeColor="hyperlink"/>
                <w:u w:val="single"/>
              </w:rPr>
            </w:pPr>
          </w:p>
          <w:p w14:paraId="1468A5E4" w14:textId="77777777" w:rsidR="00373607" w:rsidRDefault="008C4487" w:rsidP="00535E84">
            <w:pPr>
              <w:rPr>
                <w:color w:val="0563C1" w:themeColor="hyperlink"/>
                <w:u w:val="single"/>
              </w:rPr>
            </w:pPr>
            <w:hyperlink r:id="rId12" w:history="1">
              <w:r w:rsidR="00BE3687" w:rsidRPr="002D7C07">
                <w:rPr>
                  <w:rStyle w:val="Hyperlink"/>
                </w:rPr>
                <w:t>http://go.qub.ac.uk/Manesiotis</w:t>
              </w:r>
            </w:hyperlink>
          </w:p>
          <w:p w14:paraId="5C254CDF" w14:textId="7DE9FBAA" w:rsidR="00A26CDC" w:rsidRPr="00F26CB4" w:rsidRDefault="00A26CDC" w:rsidP="00535E84">
            <w:pPr>
              <w:rPr>
                <w:color w:val="0563C1" w:themeColor="hyperlink"/>
                <w:u w:val="single"/>
              </w:rPr>
            </w:pPr>
          </w:p>
        </w:tc>
      </w:tr>
      <w:tr w:rsidR="003F1182" w14:paraId="6FA54374" w14:textId="77777777" w:rsidTr="00773C9D">
        <w:trPr>
          <w:trHeight w:val="576"/>
        </w:trPr>
        <w:tc>
          <w:tcPr>
            <w:tcW w:w="1522" w:type="dxa"/>
            <w:shd w:val="clear" w:color="auto" w:fill="DEEAF6" w:themeFill="accent1" w:themeFillTint="33"/>
          </w:tcPr>
          <w:p w14:paraId="6FA9BAAB" w14:textId="77777777" w:rsidR="003F1182" w:rsidRDefault="003F1182" w:rsidP="003F1182">
            <w:pPr>
              <w:rPr>
                <w:b/>
              </w:rPr>
            </w:pPr>
            <w:r>
              <w:rPr>
                <w:b/>
              </w:rPr>
              <w:t>Keywords for search filters</w:t>
            </w:r>
          </w:p>
        </w:tc>
        <w:tc>
          <w:tcPr>
            <w:tcW w:w="8396" w:type="dxa"/>
          </w:tcPr>
          <w:p w14:paraId="5D6B122D" w14:textId="23261EE2" w:rsidR="003F1182" w:rsidRDefault="00535E84" w:rsidP="00897021">
            <w:r>
              <w:t xml:space="preserve">Drug delivery, materials science, </w:t>
            </w:r>
            <w:r w:rsidR="005C3D5A">
              <w:t xml:space="preserve">analytical chemistry, polymers, </w:t>
            </w:r>
            <w:r>
              <w:t>solid state NMR</w:t>
            </w:r>
          </w:p>
        </w:tc>
      </w:tr>
      <w:tr w:rsidR="00DE3E0F" w14:paraId="46E95240" w14:textId="77777777" w:rsidTr="00773C9D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3219A3B1" w14:textId="77777777" w:rsidR="00DE3E0F" w:rsidRDefault="00DE3E0F" w:rsidP="00DE3E0F">
            <w:pPr>
              <w:rPr>
                <w:b/>
              </w:rPr>
            </w:pPr>
            <w:r>
              <w:rPr>
                <w:b/>
              </w:rPr>
              <w:t>Training provided through the research project</w:t>
            </w:r>
          </w:p>
        </w:tc>
        <w:tc>
          <w:tcPr>
            <w:tcW w:w="8396" w:type="dxa"/>
          </w:tcPr>
          <w:p w14:paraId="7525F03B" w14:textId="61FF7000" w:rsidR="00DE3E0F" w:rsidRDefault="00C64E53" w:rsidP="00B25E6E">
            <w:pPr>
              <w:jc w:val="both"/>
            </w:pPr>
            <w:r>
              <w:t xml:space="preserve">The successful applicants will join a multi-disciplinary team working across the Schools of Pharmacy and Chemistry and Chemical Engineering and will receive hands on training on design, </w:t>
            </w:r>
            <w:proofErr w:type="gramStart"/>
            <w:r>
              <w:t>development</w:t>
            </w:r>
            <w:proofErr w:type="gramEnd"/>
            <w:r>
              <w:t xml:space="preserve"> and characterisation of polymer materials for drug delivery</w:t>
            </w:r>
            <w:r w:rsidR="008C4487">
              <w:t xml:space="preserve"> and chiral separations</w:t>
            </w:r>
            <w:r>
              <w:t xml:space="preserve">. Example techniques include HPLC/HPLC-MS, GC/GC-MS, surface area analysis, FT-IR, </w:t>
            </w:r>
            <w:proofErr w:type="gramStart"/>
            <w:r>
              <w:t>UV</w:t>
            </w:r>
            <w:proofErr w:type="gramEnd"/>
            <w:r>
              <w:t xml:space="preserve"> and fluorescence spectroscopies, as well as solution and solid-state NMR. The student will also have </w:t>
            </w:r>
            <w:r w:rsidR="00364F5B">
              <w:t>opportunities to develop teamwork and interpersonal skills,</w:t>
            </w:r>
            <w:r w:rsidR="002C6C8C">
              <w:t xml:space="preserve"> literature review</w:t>
            </w:r>
            <w:r w:rsidR="0044481F">
              <w:t xml:space="preserve"> and writing</w:t>
            </w:r>
            <w:r w:rsidR="002C6C8C">
              <w:t xml:space="preserve"> skills,</w:t>
            </w:r>
            <w:r w:rsidR="00364F5B">
              <w:t xml:space="preserve"> </w:t>
            </w:r>
            <w:r w:rsidR="002C6C8C">
              <w:t xml:space="preserve">as well as </w:t>
            </w:r>
            <w:r w:rsidR="00364F5B">
              <w:t>presentation</w:t>
            </w:r>
            <w:r w:rsidR="002C6C8C">
              <w:t xml:space="preserve"> skills, both </w:t>
            </w:r>
            <w:r w:rsidR="0044481F">
              <w:t>with</w:t>
            </w:r>
            <w:r w:rsidR="002C6C8C">
              <w:t xml:space="preserve">in </w:t>
            </w:r>
            <w:r w:rsidR="0044481F">
              <w:t xml:space="preserve">the </w:t>
            </w:r>
            <w:r w:rsidR="002C6C8C">
              <w:t xml:space="preserve">research </w:t>
            </w:r>
            <w:r w:rsidR="0044481F">
              <w:t xml:space="preserve">group or University activities, as well as in major international conferences. </w:t>
            </w:r>
          </w:p>
          <w:p w14:paraId="02EC8650" w14:textId="39C92890" w:rsidR="00A74479" w:rsidRDefault="00A74479" w:rsidP="00B25E6E">
            <w:pPr>
              <w:jc w:val="both"/>
            </w:pPr>
          </w:p>
        </w:tc>
      </w:tr>
      <w:tr w:rsidR="00DE3E0F" w14:paraId="731DC994" w14:textId="77777777" w:rsidTr="00773C9D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00053B05" w14:textId="77777777" w:rsidR="00DE3E0F" w:rsidRDefault="00DE3E0F" w:rsidP="00DE3E0F">
            <w:pPr>
              <w:rPr>
                <w:b/>
              </w:rPr>
            </w:pPr>
            <w:r>
              <w:rPr>
                <w:b/>
              </w:rPr>
              <w:t>Expected impact activities</w:t>
            </w:r>
          </w:p>
        </w:tc>
        <w:tc>
          <w:tcPr>
            <w:tcW w:w="8396" w:type="dxa"/>
          </w:tcPr>
          <w:p w14:paraId="27B558D6" w14:textId="6F1CD805" w:rsidR="00DE3E0F" w:rsidRDefault="0044481F" w:rsidP="00EB3D85">
            <w:pPr>
              <w:jc w:val="both"/>
            </w:pPr>
            <w:r>
              <w:t>The student will be expected to participate in School outreach events to promote the impact of their own research</w:t>
            </w:r>
            <w:r w:rsidR="00EA5E53">
              <w:t>, as well as wider public facing science events.</w:t>
            </w:r>
          </w:p>
        </w:tc>
      </w:tr>
    </w:tbl>
    <w:p w14:paraId="58CB29AD" w14:textId="77777777" w:rsidR="00375356" w:rsidRDefault="00375356"/>
    <w:sectPr w:rsidR="00375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1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MS Gothic"/>
    <w:panose1 w:val="020B0300000000000000"/>
    <w:charset w:val="80"/>
    <w:family w:val="auto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5528"/>
    <w:multiLevelType w:val="hybridMultilevel"/>
    <w:tmpl w:val="5FF83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D9"/>
    <w:rsid w:val="00001543"/>
    <w:rsid w:val="00002F77"/>
    <w:rsid w:val="000035F4"/>
    <w:rsid w:val="000140E0"/>
    <w:rsid w:val="00017B3A"/>
    <w:rsid w:val="000211E7"/>
    <w:rsid w:val="00036AC1"/>
    <w:rsid w:val="0005207A"/>
    <w:rsid w:val="0006380D"/>
    <w:rsid w:val="0006730B"/>
    <w:rsid w:val="00074FC2"/>
    <w:rsid w:val="00076683"/>
    <w:rsid w:val="0008106D"/>
    <w:rsid w:val="00087903"/>
    <w:rsid w:val="00093ED6"/>
    <w:rsid w:val="000976C2"/>
    <w:rsid w:val="000B5232"/>
    <w:rsid w:val="000B5533"/>
    <w:rsid w:val="000C6238"/>
    <w:rsid w:val="000D5235"/>
    <w:rsid w:val="000D526E"/>
    <w:rsid w:val="000F0B0E"/>
    <w:rsid w:val="000F380D"/>
    <w:rsid w:val="000F550F"/>
    <w:rsid w:val="000F6B4D"/>
    <w:rsid w:val="000F6C8E"/>
    <w:rsid w:val="00100C14"/>
    <w:rsid w:val="00114809"/>
    <w:rsid w:val="00120DEF"/>
    <w:rsid w:val="001215F1"/>
    <w:rsid w:val="00125BB4"/>
    <w:rsid w:val="00127B6D"/>
    <w:rsid w:val="0013226E"/>
    <w:rsid w:val="00133C78"/>
    <w:rsid w:val="00136716"/>
    <w:rsid w:val="00136A7C"/>
    <w:rsid w:val="0014119A"/>
    <w:rsid w:val="00147201"/>
    <w:rsid w:val="00152845"/>
    <w:rsid w:val="00152DAA"/>
    <w:rsid w:val="00152DD3"/>
    <w:rsid w:val="00157E70"/>
    <w:rsid w:val="001757EF"/>
    <w:rsid w:val="001865C3"/>
    <w:rsid w:val="00190974"/>
    <w:rsid w:val="001976E1"/>
    <w:rsid w:val="001A466A"/>
    <w:rsid w:val="001B35A8"/>
    <w:rsid w:val="001B56F1"/>
    <w:rsid w:val="001B5748"/>
    <w:rsid w:val="001B7418"/>
    <w:rsid w:val="001B792D"/>
    <w:rsid w:val="001B7A47"/>
    <w:rsid w:val="001C09BA"/>
    <w:rsid w:val="001C15E7"/>
    <w:rsid w:val="001C36D8"/>
    <w:rsid w:val="001C59A2"/>
    <w:rsid w:val="001C6CFE"/>
    <w:rsid w:val="001D5A77"/>
    <w:rsid w:val="001E0C79"/>
    <w:rsid w:val="001E10DB"/>
    <w:rsid w:val="001E6AE7"/>
    <w:rsid w:val="001F273F"/>
    <w:rsid w:val="001F700A"/>
    <w:rsid w:val="0020192E"/>
    <w:rsid w:val="00201BD9"/>
    <w:rsid w:val="0020699C"/>
    <w:rsid w:val="002110A7"/>
    <w:rsid w:val="00211ADC"/>
    <w:rsid w:val="0023305E"/>
    <w:rsid w:val="00234A97"/>
    <w:rsid w:val="002438AA"/>
    <w:rsid w:val="0024565D"/>
    <w:rsid w:val="00246C74"/>
    <w:rsid w:val="002663D0"/>
    <w:rsid w:val="002679A5"/>
    <w:rsid w:val="00270CA4"/>
    <w:rsid w:val="00275E36"/>
    <w:rsid w:val="00276A24"/>
    <w:rsid w:val="00286380"/>
    <w:rsid w:val="00287196"/>
    <w:rsid w:val="002963E1"/>
    <w:rsid w:val="002A0180"/>
    <w:rsid w:val="002A22B2"/>
    <w:rsid w:val="002A4543"/>
    <w:rsid w:val="002A6769"/>
    <w:rsid w:val="002A6F4F"/>
    <w:rsid w:val="002B644E"/>
    <w:rsid w:val="002B6455"/>
    <w:rsid w:val="002C6C8C"/>
    <w:rsid w:val="002D30A7"/>
    <w:rsid w:val="002E0374"/>
    <w:rsid w:val="002E219E"/>
    <w:rsid w:val="002E6701"/>
    <w:rsid w:val="002F06D8"/>
    <w:rsid w:val="002F38B4"/>
    <w:rsid w:val="002F3D8F"/>
    <w:rsid w:val="00300B77"/>
    <w:rsid w:val="00303DAB"/>
    <w:rsid w:val="00307A16"/>
    <w:rsid w:val="00312241"/>
    <w:rsid w:val="00315F1B"/>
    <w:rsid w:val="00317C62"/>
    <w:rsid w:val="00322E90"/>
    <w:rsid w:val="003375F5"/>
    <w:rsid w:val="0034159F"/>
    <w:rsid w:val="003418CF"/>
    <w:rsid w:val="00342E0B"/>
    <w:rsid w:val="003437FB"/>
    <w:rsid w:val="00346EA7"/>
    <w:rsid w:val="00347872"/>
    <w:rsid w:val="00353B81"/>
    <w:rsid w:val="00364F5B"/>
    <w:rsid w:val="0036592A"/>
    <w:rsid w:val="00373607"/>
    <w:rsid w:val="0037391E"/>
    <w:rsid w:val="00374800"/>
    <w:rsid w:val="00375356"/>
    <w:rsid w:val="00381594"/>
    <w:rsid w:val="00382320"/>
    <w:rsid w:val="003862E4"/>
    <w:rsid w:val="00396B87"/>
    <w:rsid w:val="003A2015"/>
    <w:rsid w:val="003A233A"/>
    <w:rsid w:val="003A50B5"/>
    <w:rsid w:val="003A76E9"/>
    <w:rsid w:val="003B22CC"/>
    <w:rsid w:val="003B6BB5"/>
    <w:rsid w:val="003C0DD9"/>
    <w:rsid w:val="003C14F2"/>
    <w:rsid w:val="003D1166"/>
    <w:rsid w:val="003E3D1A"/>
    <w:rsid w:val="003E4D9E"/>
    <w:rsid w:val="003F1182"/>
    <w:rsid w:val="003F5DA8"/>
    <w:rsid w:val="003F716D"/>
    <w:rsid w:val="00403319"/>
    <w:rsid w:val="0040602C"/>
    <w:rsid w:val="00407ED6"/>
    <w:rsid w:val="00420A13"/>
    <w:rsid w:val="0043514D"/>
    <w:rsid w:val="00437BE9"/>
    <w:rsid w:val="004418E8"/>
    <w:rsid w:val="0044481F"/>
    <w:rsid w:val="00452039"/>
    <w:rsid w:val="00452AD9"/>
    <w:rsid w:val="004658F1"/>
    <w:rsid w:val="0047023E"/>
    <w:rsid w:val="0047276F"/>
    <w:rsid w:val="0047473B"/>
    <w:rsid w:val="00480978"/>
    <w:rsid w:val="00480D4A"/>
    <w:rsid w:val="0048607D"/>
    <w:rsid w:val="004874AA"/>
    <w:rsid w:val="00487869"/>
    <w:rsid w:val="004A4702"/>
    <w:rsid w:val="004C36C5"/>
    <w:rsid w:val="004C4456"/>
    <w:rsid w:val="004C5821"/>
    <w:rsid w:val="004C6CB4"/>
    <w:rsid w:val="004D2EF5"/>
    <w:rsid w:val="004D7242"/>
    <w:rsid w:val="004E1ED1"/>
    <w:rsid w:val="004E5754"/>
    <w:rsid w:val="004E57B7"/>
    <w:rsid w:val="004F4713"/>
    <w:rsid w:val="004F57F3"/>
    <w:rsid w:val="00502C57"/>
    <w:rsid w:val="00507600"/>
    <w:rsid w:val="00527250"/>
    <w:rsid w:val="005302E0"/>
    <w:rsid w:val="0053253B"/>
    <w:rsid w:val="00535E84"/>
    <w:rsid w:val="0053628D"/>
    <w:rsid w:val="00541A46"/>
    <w:rsid w:val="00550AAE"/>
    <w:rsid w:val="00553299"/>
    <w:rsid w:val="00553AB1"/>
    <w:rsid w:val="00567EBE"/>
    <w:rsid w:val="00574D74"/>
    <w:rsid w:val="0058648B"/>
    <w:rsid w:val="005A4DBD"/>
    <w:rsid w:val="005B1A39"/>
    <w:rsid w:val="005B5E39"/>
    <w:rsid w:val="005B7F83"/>
    <w:rsid w:val="005C3D5A"/>
    <w:rsid w:val="005D1843"/>
    <w:rsid w:val="005D4DF9"/>
    <w:rsid w:val="005E19CD"/>
    <w:rsid w:val="005E4BD6"/>
    <w:rsid w:val="005F2741"/>
    <w:rsid w:val="005F301D"/>
    <w:rsid w:val="00611CA5"/>
    <w:rsid w:val="00614685"/>
    <w:rsid w:val="00636529"/>
    <w:rsid w:val="00636A02"/>
    <w:rsid w:val="0064028D"/>
    <w:rsid w:val="00640638"/>
    <w:rsid w:val="0064387C"/>
    <w:rsid w:val="00656476"/>
    <w:rsid w:val="00657EC8"/>
    <w:rsid w:val="00663A1A"/>
    <w:rsid w:val="006815A5"/>
    <w:rsid w:val="00695F66"/>
    <w:rsid w:val="006977CC"/>
    <w:rsid w:val="006B2D8B"/>
    <w:rsid w:val="006B35DD"/>
    <w:rsid w:val="006B5E92"/>
    <w:rsid w:val="006C2131"/>
    <w:rsid w:val="006C5676"/>
    <w:rsid w:val="006C60CA"/>
    <w:rsid w:val="006C7069"/>
    <w:rsid w:val="006C778B"/>
    <w:rsid w:val="006D1994"/>
    <w:rsid w:val="006E4E27"/>
    <w:rsid w:val="006F6EA4"/>
    <w:rsid w:val="00703E40"/>
    <w:rsid w:val="00704886"/>
    <w:rsid w:val="00712E00"/>
    <w:rsid w:val="00720F2B"/>
    <w:rsid w:val="00727F85"/>
    <w:rsid w:val="007347D4"/>
    <w:rsid w:val="0075794A"/>
    <w:rsid w:val="00757A63"/>
    <w:rsid w:val="007627E0"/>
    <w:rsid w:val="0076752E"/>
    <w:rsid w:val="0077082C"/>
    <w:rsid w:val="00771690"/>
    <w:rsid w:val="00771E79"/>
    <w:rsid w:val="0077245E"/>
    <w:rsid w:val="00773C9D"/>
    <w:rsid w:val="00776188"/>
    <w:rsid w:val="00781A8B"/>
    <w:rsid w:val="00781ED6"/>
    <w:rsid w:val="00791B40"/>
    <w:rsid w:val="00793FA5"/>
    <w:rsid w:val="007A62B0"/>
    <w:rsid w:val="007A73EB"/>
    <w:rsid w:val="007B185B"/>
    <w:rsid w:val="007B1FB4"/>
    <w:rsid w:val="007B2C32"/>
    <w:rsid w:val="007B515E"/>
    <w:rsid w:val="007B5CF8"/>
    <w:rsid w:val="007B6E4A"/>
    <w:rsid w:val="007C3A10"/>
    <w:rsid w:val="007D2A36"/>
    <w:rsid w:val="007E0599"/>
    <w:rsid w:val="007E0D0E"/>
    <w:rsid w:val="007E6E7C"/>
    <w:rsid w:val="007F3B9F"/>
    <w:rsid w:val="007F3CD9"/>
    <w:rsid w:val="007F7C74"/>
    <w:rsid w:val="008022E0"/>
    <w:rsid w:val="0081399F"/>
    <w:rsid w:val="00821CE6"/>
    <w:rsid w:val="00823089"/>
    <w:rsid w:val="00830A08"/>
    <w:rsid w:val="00835A1C"/>
    <w:rsid w:val="00836A05"/>
    <w:rsid w:val="00845949"/>
    <w:rsid w:val="0085153F"/>
    <w:rsid w:val="00854482"/>
    <w:rsid w:val="0085462F"/>
    <w:rsid w:val="00862594"/>
    <w:rsid w:val="0087029C"/>
    <w:rsid w:val="00873281"/>
    <w:rsid w:val="00880D9A"/>
    <w:rsid w:val="0088290A"/>
    <w:rsid w:val="00884B0B"/>
    <w:rsid w:val="0088648A"/>
    <w:rsid w:val="0089003B"/>
    <w:rsid w:val="00890EB8"/>
    <w:rsid w:val="008937DE"/>
    <w:rsid w:val="00893C50"/>
    <w:rsid w:val="00896381"/>
    <w:rsid w:val="00897021"/>
    <w:rsid w:val="00897BAA"/>
    <w:rsid w:val="008A002F"/>
    <w:rsid w:val="008C083D"/>
    <w:rsid w:val="008C4487"/>
    <w:rsid w:val="008F1C24"/>
    <w:rsid w:val="008F7100"/>
    <w:rsid w:val="00925FA3"/>
    <w:rsid w:val="009279B9"/>
    <w:rsid w:val="009453CE"/>
    <w:rsid w:val="0095334C"/>
    <w:rsid w:val="00956BE2"/>
    <w:rsid w:val="00957551"/>
    <w:rsid w:val="00960566"/>
    <w:rsid w:val="00981E1C"/>
    <w:rsid w:val="00982267"/>
    <w:rsid w:val="00982CC7"/>
    <w:rsid w:val="00991636"/>
    <w:rsid w:val="00993573"/>
    <w:rsid w:val="00996932"/>
    <w:rsid w:val="009B03F1"/>
    <w:rsid w:val="009B569A"/>
    <w:rsid w:val="009D2BCC"/>
    <w:rsid w:val="009D483E"/>
    <w:rsid w:val="009D4AE3"/>
    <w:rsid w:val="009F0F1A"/>
    <w:rsid w:val="009F4EDF"/>
    <w:rsid w:val="00A0196B"/>
    <w:rsid w:val="00A03637"/>
    <w:rsid w:val="00A05C2D"/>
    <w:rsid w:val="00A131B2"/>
    <w:rsid w:val="00A14FEA"/>
    <w:rsid w:val="00A24586"/>
    <w:rsid w:val="00A2502A"/>
    <w:rsid w:val="00A2514A"/>
    <w:rsid w:val="00A26CDC"/>
    <w:rsid w:val="00A30D12"/>
    <w:rsid w:val="00A3441A"/>
    <w:rsid w:val="00A354B3"/>
    <w:rsid w:val="00A404C0"/>
    <w:rsid w:val="00A4488B"/>
    <w:rsid w:val="00A51E47"/>
    <w:rsid w:val="00A53D5A"/>
    <w:rsid w:val="00A61746"/>
    <w:rsid w:val="00A63CD4"/>
    <w:rsid w:val="00A74479"/>
    <w:rsid w:val="00A768A4"/>
    <w:rsid w:val="00A907D7"/>
    <w:rsid w:val="00A90948"/>
    <w:rsid w:val="00A946F0"/>
    <w:rsid w:val="00AA53C1"/>
    <w:rsid w:val="00AB1FFD"/>
    <w:rsid w:val="00AB4CB5"/>
    <w:rsid w:val="00AB72A5"/>
    <w:rsid w:val="00AB76CD"/>
    <w:rsid w:val="00AC07AE"/>
    <w:rsid w:val="00AC1FE9"/>
    <w:rsid w:val="00AD429E"/>
    <w:rsid w:val="00AD6DB6"/>
    <w:rsid w:val="00AE15FE"/>
    <w:rsid w:val="00AF3133"/>
    <w:rsid w:val="00AF78E5"/>
    <w:rsid w:val="00B030A3"/>
    <w:rsid w:val="00B071EB"/>
    <w:rsid w:val="00B07BDF"/>
    <w:rsid w:val="00B1507C"/>
    <w:rsid w:val="00B160F9"/>
    <w:rsid w:val="00B16E01"/>
    <w:rsid w:val="00B21B3C"/>
    <w:rsid w:val="00B25E6E"/>
    <w:rsid w:val="00B27846"/>
    <w:rsid w:val="00B359EF"/>
    <w:rsid w:val="00B363F2"/>
    <w:rsid w:val="00B40805"/>
    <w:rsid w:val="00B40C54"/>
    <w:rsid w:val="00B4262C"/>
    <w:rsid w:val="00B42F58"/>
    <w:rsid w:val="00B44FF9"/>
    <w:rsid w:val="00B47154"/>
    <w:rsid w:val="00B5079E"/>
    <w:rsid w:val="00B50BAC"/>
    <w:rsid w:val="00B55E28"/>
    <w:rsid w:val="00B6354C"/>
    <w:rsid w:val="00B703CE"/>
    <w:rsid w:val="00BA71ED"/>
    <w:rsid w:val="00BB6F08"/>
    <w:rsid w:val="00BC2944"/>
    <w:rsid w:val="00BD017F"/>
    <w:rsid w:val="00BE346B"/>
    <w:rsid w:val="00BE3687"/>
    <w:rsid w:val="00BF08BD"/>
    <w:rsid w:val="00BF17EC"/>
    <w:rsid w:val="00BF4B26"/>
    <w:rsid w:val="00BF57DC"/>
    <w:rsid w:val="00C03ADA"/>
    <w:rsid w:val="00C12418"/>
    <w:rsid w:val="00C2183A"/>
    <w:rsid w:val="00C24347"/>
    <w:rsid w:val="00C263B0"/>
    <w:rsid w:val="00C31A8A"/>
    <w:rsid w:val="00C3441B"/>
    <w:rsid w:val="00C428CF"/>
    <w:rsid w:val="00C50D2D"/>
    <w:rsid w:val="00C519E9"/>
    <w:rsid w:val="00C57CF9"/>
    <w:rsid w:val="00C6086C"/>
    <w:rsid w:val="00C6334C"/>
    <w:rsid w:val="00C64E53"/>
    <w:rsid w:val="00C66B4F"/>
    <w:rsid w:val="00C7500B"/>
    <w:rsid w:val="00C861B6"/>
    <w:rsid w:val="00C876DB"/>
    <w:rsid w:val="00C912B9"/>
    <w:rsid w:val="00C938C4"/>
    <w:rsid w:val="00CA2E64"/>
    <w:rsid w:val="00CA3E08"/>
    <w:rsid w:val="00CA70D8"/>
    <w:rsid w:val="00CB3D31"/>
    <w:rsid w:val="00CC02B2"/>
    <w:rsid w:val="00CC767D"/>
    <w:rsid w:val="00CD4D50"/>
    <w:rsid w:val="00CE1429"/>
    <w:rsid w:val="00CE50BE"/>
    <w:rsid w:val="00CE6CFB"/>
    <w:rsid w:val="00D00807"/>
    <w:rsid w:val="00D0311E"/>
    <w:rsid w:val="00D113D5"/>
    <w:rsid w:val="00D11B48"/>
    <w:rsid w:val="00D1708D"/>
    <w:rsid w:val="00D23483"/>
    <w:rsid w:val="00D2453D"/>
    <w:rsid w:val="00D31D29"/>
    <w:rsid w:val="00D367BF"/>
    <w:rsid w:val="00D5030D"/>
    <w:rsid w:val="00D533B2"/>
    <w:rsid w:val="00D5690F"/>
    <w:rsid w:val="00D57854"/>
    <w:rsid w:val="00D64E36"/>
    <w:rsid w:val="00D804A3"/>
    <w:rsid w:val="00D80D41"/>
    <w:rsid w:val="00D82FEF"/>
    <w:rsid w:val="00D91A1F"/>
    <w:rsid w:val="00DA3F99"/>
    <w:rsid w:val="00DB009E"/>
    <w:rsid w:val="00DB437C"/>
    <w:rsid w:val="00DB450E"/>
    <w:rsid w:val="00DB709B"/>
    <w:rsid w:val="00DC5B83"/>
    <w:rsid w:val="00DD1D77"/>
    <w:rsid w:val="00DD6932"/>
    <w:rsid w:val="00DE3E0F"/>
    <w:rsid w:val="00DF148B"/>
    <w:rsid w:val="00E11BB2"/>
    <w:rsid w:val="00E166B5"/>
    <w:rsid w:val="00E177D8"/>
    <w:rsid w:val="00E2148C"/>
    <w:rsid w:val="00E27D11"/>
    <w:rsid w:val="00E33DAC"/>
    <w:rsid w:val="00E35E2D"/>
    <w:rsid w:val="00E36870"/>
    <w:rsid w:val="00E41AE4"/>
    <w:rsid w:val="00E42C6C"/>
    <w:rsid w:val="00E44D18"/>
    <w:rsid w:val="00E455CC"/>
    <w:rsid w:val="00E471FE"/>
    <w:rsid w:val="00E5373D"/>
    <w:rsid w:val="00E55956"/>
    <w:rsid w:val="00E618A6"/>
    <w:rsid w:val="00E62BE0"/>
    <w:rsid w:val="00E720D9"/>
    <w:rsid w:val="00E721FA"/>
    <w:rsid w:val="00E731E0"/>
    <w:rsid w:val="00E76C26"/>
    <w:rsid w:val="00EA02F6"/>
    <w:rsid w:val="00EA0D01"/>
    <w:rsid w:val="00EA5E53"/>
    <w:rsid w:val="00EA70C2"/>
    <w:rsid w:val="00EB3D85"/>
    <w:rsid w:val="00EC4DE0"/>
    <w:rsid w:val="00EC505E"/>
    <w:rsid w:val="00EC684B"/>
    <w:rsid w:val="00ED21A7"/>
    <w:rsid w:val="00ED5C21"/>
    <w:rsid w:val="00EE11D1"/>
    <w:rsid w:val="00EE14CB"/>
    <w:rsid w:val="00EE3B21"/>
    <w:rsid w:val="00EE5C5D"/>
    <w:rsid w:val="00EE693D"/>
    <w:rsid w:val="00EF23A4"/>
    <w:rsid w:val="00EF271B"/>
    <w:rsid w:val="00F1151C"/>
    <w:rsid w:val="00F156AD"/>
    <w:rsid w:val="00F2645B"/>
    <w:rsid w:val="00F26CB4"/>
    <w:rsid w:val="00F276FA"/>
    <w:rsid w:val="00F333AB"/>
    <w:rsid w:val="00F376E8"/>
    <w:rsid w:val="00F45400"/>
    <w:rsid w:val="00F52902"/>
    <w:rsid w:val="00F53AD2"/>
    <w:rsid w:val="00F61002"/>
    <w:rsid w:val="00F73D4A"/>
    <w:rsid w:val="00F74680"/>
    <w:rsid w:val="00F76DAC"/>
    <w:rsid w:val="00F81886"/>
    <w:rsid w:val="00F82BDB"/>
    <w:rsid w:val="00F848EA"/>
    <w:rsid w:val="00F90DB4"/>
    <w:rsid w:val="00FA546D"/>
    <w:rsid w:val="00FB3233"/>
    <w:rsid w:val="00FB6942"/>
    <w:rsid w:val="00FC08F5"/>
    <w:rsid w:val="00FC2092"/>
    <w:rsid w:val="00FC4575"/>
    <w:rsid w:val="00FD0D59"/>
    <w:rsid w:val="00FD37C6"/>
    <w:rsid w:val="00FD72DC"/>
    <w:rsid w:val="00FE66B6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738590"/>
  <w15:docId w15:val="{B8791B8A-7F24-3943-9643-47704035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3CD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3C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95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ED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AE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63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3E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3E1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rsid w:val="002963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963E1"/>
    <w:rPr>
      <w:rFonts w:ascii="Times New Roman" w:eastAsia="Times New Roman" w:hAnsi="Times New Roman" w:cs="Times New Roman"/>
      <w:sz w:val="20"/>
      <w:szCs w:val="20"/>
    </w:rPr>
  </w:style>
  <w:style w:type="paragraph" w:customStyle="1" w:styleId="Body">
    <w:name w:val="Body"/>
    <w:rsid w:val="002963E1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BD9"/>
    <w:pPr>
      <w:spacing w:after="16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BD9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B1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3C9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46C7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87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p.qub.ac.uk/portal/user/u_login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.manesiotis@qub.ac.uk" TargetMode="External"/><Relationship Id="rId12" Type="http://schemas.openxmlformats.org/officeDocument/2006/relationships/hyperlink" Target="http://go.qub.ac.uk/Manesiot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malcolm@qub.ac.uk" TargetMode="External"/><Relationship Id="rId11" Type="http://schemas.openxmlformats.org/officeDocument/2006/relationships/hyperlink" Target="https://www.qub.ac.uk/schools/SchoolofChemistryandChemicalEngineering/Study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qub.ac.uk/schools/SchoolofPharmacy/Resear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ub.ac.uk/schools/SchoolofPharmacy/Research/PostgraduatePosition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Jess</dc:creator>
  <cp:lastModifiedBy>Panagiotis Manesiotis</cp:lastModifiedBy>
  <cp:revision>22</cp:revision>
  <dcterms:created xsi:type="dcterms:W3CDTF">2022-02-06T21:27:00Z</dcterms:created>
  <dcterms:modified xsi:type="dcterms:W3CDTF">2022-02-11T22:48:00Z</dcterms:modified>
</cp:coreProperties>
</file>