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778A" w14:textId="77777777" w:rsidR="001976E1" w:rsidRDefault="001976E1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14:paraId="6AA3ABD8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4CBA321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Title of studentship</w:t>
            </w:r>
          </w:p>
        </w:tc>
        <w:tc>
          <w:tcPr>
            <w:tcW w:w="7730" w:type="dxa"/>
          </w:tcPr>
          <w:p w14:paraId="14FCE124" w14:textId="77777777" w:rsidR="007F3CD9" w:rsidRDefault="00D05BB9" w:rsidP="00211ADC">
            <w:pPr>
              <w:rPr>
                <w:lang w:bidi="en-GB"/>
              </w:rPr>
            </w:pPr>
            <w:r w:rsidRPr="00D05BB9">
              <w:rPr>
                <w:lang w:bidi="en-GB"/>
              </w:rPr>
              <w:t>Development of next</w:t>
            </w:r>
            <w:r w:rsidR="00F32705">
              <w:rPr>
                <w:lang w:bidi="en-GB"/>
              </w:rPr>
              <w:t>-</w:t>
            </w:r>
            <w:r w:rsidRPr="00D05BB9">
              <w:rPr>
                <w:lang w:bidi="en-GB"/>
              </w:rPr>
              <w:t>generation vaginal gels containing multiple active agents for improved treatment of bacterial vaginosis</w:t>
            </w:r>
          </w:p>
          <w:p w14:paraId="333DF318" w14:textId="54D1F04F" w:rsidR="00F32705" w:rsidRDefault="00F32705" w:rsidP="00211ADC"/>
        </w:tc>
      </w:tr>
      <w:tr w:rsidR="007F3CD9" w14:paraId="1DA73E4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24046C4A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 w:rsidR="000F380D">
              <w:rPr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58BB1F29" w14:textId="69D350D6" w:rsidR="007C3A10" w:rsidRDefault="00EE2500" w:rsidP="00B4262C">
            <w:r>
              <w:t xml:space="preserve">Will consider </w:t>
            </w:r>
            <w:r w:rsidR="00F32705">
              <w:t xml:space="preserve">either </w:t>
            </w:r>
            <w:proofErr w:type="spellStart"/>
            <w:r>
              <w:t>DfE</w:t>
            </w:r>
            <w:proofErr w:type="spellEnd"/>
            <w:r>
              <w:t>-funded</w:t>
            </w:r>
            <w:r w:rsidR="00F32705">
              <w:t xml:space="preserve"> (UK/EU only)</w:t>
            </w:r>
            <w:r>
              <w:t xml:space="preserve"> and self-funded applicants</w:t>
            </w:r>
            <w:r w:rsidR="00F32705">
              <w:t xml:space="preserve"> (worldwide)</w:t>
            </w:r>
            <w:r>
              <w:t xml:space="preserve"> </w:t>
            </w:r>
          </w:p>
        </w:tc>
      </w:tr>
      <w:tr w:rsidR="007F3CD9" w14:paraId="7C09FAF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340D60EB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7730" w:type="dxa"/>
          </w:tcPr>
          <w:p w14:paraId="004BEE84" w14:textId="1008CFAA" w:rsidR="007F3CD9" w:rsidRDefault="00F32705">
            <w:r>
              <w:t>Various</w:t>
            </w:r>
          </w:p>
        </w:tc>
      </w:tr>
      <w:tr w:rsidR="007F3CD9" w14:paraId="51AD738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25ECEA36" w14:textId="77777777" w:rsidR="007F3CD9" w:rsidRPr="007F3CD9" w:rsidRDefault="007F3CD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7730" w:type="dxa"/>
          </w:tcPr>
          <w:p w14:paraId="0CE1E8D2" w14:textId="7205E7C6" w:rsidR="007F3CD9" w:rsidRDefault="00EE2500">
            <w:r>
              <w:t>1</w:t>
            </w:r>
          </w:p>
        </w:tc>
      </w:tr>
      <w:tr w:rsidR="007F3CD9" w14:paraId="01A8ADD3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06365844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 xml:space="preserve">Summary </w:t>
            </w:r>
            <w:r w:rsidR="00270CA4">
              <w:rPr>
                <w:b/>
              </w:rPr>
              <w:t xml:space="preserve">descriptive </w:t>
            </w:r>
            <w:r w:rsidR="007F3CD9" w:rsidRPr="007F3CD9">
              <w:rPr>
                <w:b/>
              </w:rPr>
              <w:t>text</w:t>
            </w:r>
            <w:r w:rsidR="00270CA4">
              <w:rPr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04012B95" w14:textId="46908D04" w:rsidR="00F32705" w:rsidRPr="00F32705" w:rsidRDefault="00D05BB9" w:rsidP="00F3270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  <w:lang w:val="en-GB" w:bidi="en-GB"/>
              </w:rPr>
            </w:pP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Bacterial vaginosis is a 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>very c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ommon </w:t>
            </w:r>
            <w:proofErr w:type="spellStart"/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dysbiosis</w:t>
            </w:r>
            <w:proofErr w:type="spellEnd"/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affecting hundreds of millions of women worldwide. 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It is associated with a 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profound shift in the vaginal microbiota</w:t>
            </w:r>
            <w:r w:rsid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, characterised by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high bacterial species diversity</w:t>
            </w:r>
            <w:r w:rsid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,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increased loads of facultative anaerobes, marked depletion of key Lactobacillus species</w:t>
            </w:r>
            <w:r w:rsid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, 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and a </w:t>
            </w:r>
            <w:r w:rsid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significant 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rise in vaginal pH to &gt; 4.5</w:t>
            </w:r>
            <w:r w:rsid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. 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This </w:t>
            </w:r>
            <w:proofErr w:type="spellStart"/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dysbiotic</w:t>
            </w:r>
            <w:proofErr w:type="spellEnd"/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state is associated with an approximate 2-fold increased risk of acquiring a broad range of sexually tra</w:t>
            </w:r>
            <w:bookmarkStart w:id="0" w:name="_GoBack"/>
            <w:bookmarkEnd w:id="0"/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nsmitted infections, including chlamydial infection, gonorrhea, herpes simplex type 2 infection, and human immunodeficiency virus (HIV) infection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>,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and increases the risk of HIV-infected women transmitting HIV to male partners. BV is associated with important reproductive and obstetric 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>conditions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, 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including 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increas</w:t>
            </w:r>
            <w:r w:rsidR="00F32705">
              <w:rPr>
                <w:rFonts w:ascii="Calibri" w:hAnsi="Calibri" w:cstheme="minorHAnsi"/>
                <w:sz w:val="22"/>
                <w:szCs w:val="22"/>
                <w:lang w:bidi="en-GB"/>
              </w:rPr>
              <w:t>ed risk</w:t>
            </w:r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of pelvic inflammatory disease, spontaneous abortion, pre-term delivery, low birth weight, and postpartum </w:t>
            </w:r>
            <w:proofErr w:type="spellStart"/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endometritis</w:t>
            </w:r>
            <w:proofErr w:type="spellEnd"/>
            <w:r w:rsidR="00F32705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. </w:t>
            </w:r>
          </w:p>
          <w:p w14:paraId="79FBE15C" w14:textId="327E9A29" w:rsidR="00F32705" w:rsidRPr="00F32705" w:rsidRDefault="00F32705" w:rsidP="00D05BB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  <w:lang w:bidi="en-GB"/>
              </w:rPr>
            </w:pPr>
          </w:p>
          <w:p w14:paraId="07D022E0" w14:textId="42ABA77E" w:rsidR="00F32705" w:rsidRPr="003107F1" w:rsidRDefault="00F32705" w:rsidP="00D05BB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  <w:lang w:val="en-GB" w:bidi="en-GB"/>
              </w:rPr>
            </w:pP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Current clinical approaches to the management of 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bacterial vaginosis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are somewhat empirical and involve the use of 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broad-spectrum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</w:t>
            </w:r>
            <w:proofErr w:type="spellStart"/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nitroimidazole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antimicrobials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or clindamycin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. 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Recommended first-line regimens include oral metronidazole 500 mg twice daily for 7 days, intravaginal 2% clindamycin cream once daily for 7 days, or intravaginal metronidazole gel once daily for 5 days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. However, both 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p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ractitioners and patients widely recognize the limitations of current therapeutic approaches to the treatment of bacterial vaginosis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, particularly the 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>inability to prevent the frequent</w:t>
            </w:r>
            <w:r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and</w:t>
            </w:r>
            <w:r w:rsidRPr="00F32705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 often relentless symptomatic recurrences</w:t>
            </w:r>
            <w:r w:rsidR="003107F1">
              <w:rPr>
                <w:rFonts w:ascii="Calibri" w:hAnsi="Calibri" w:cstheme="minorHAnsi"/>
                <w:sz w:val="22"/>
                <w:szCs w:val="22"/>
                <w:lang w:val="en-GB" w:bidi="en-GB"/>
              </w:rPr>
              <w:t xml:space="preserve">; typically, 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50% of women </w:t>
            </w:r>
            <w:r w:rsidR="003107F1">
              <w:rPr>
                <w:rFonts w:ascii="Calibri" w:hAnsi="Calibri" w:cstheme="minorHAnsi"/>
                <w:sz w:val="22"/>
                <w:szCs w:val="22"/>
                <w:lang w:bidi="en-GB"/>
              </w:rPr>
              <w:t>treated for bacterial vaginosis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</w:t>
            </w:r>
            <w:r w:rsidR="003107F1">
              <w:rPr>
                <w:rFonts w:ascii="Calibri" w:hAnsi="Calibri" w:cstheme="minorHAnsi"/>
                <w:sz w:val="22"/>
                <w:szCs w:val="22"/>
                <w:lang w:bidi="en-GB"/>
              </w:rPr>
              <w:t>show recurrence of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symptoms within 12 months.</w:t>
            </w:r>
          </w:p>
          <w:p w14:paraId="046D7734" w14:textId="77777777" w:rsidR="00EE2500" w:rsidRPr="00F32705" w:rsidRDefault="00EE2500" w:rsidP="00D05BB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  <w:rPr>
                <w:rFonts w:ascii="Calibri" w:hAnsi="Calibri" w:cstheme="minorHAnsi"/>
                <w:sz w:val="22"/>
                <w:szCs w:val="22"/>
                <w:lang w:bidi="en-GB"/>
              </w:rPr>
            </w:pPr>
          </w:p>
          <w:p w14:paraId="132D726A" w14:textId="63099B95" w:rsidR="00D05BB9" w:rsidRPr="00F32705" w:rsidRDefault="00EF7034" w:rsidP="00D05BB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jc w:val="both"/>
              <w:rPr>
                <w:rFonts w:ascii="Calibri" w:hAnsi="Calibri" w:cstheme="minorHAnsi"/>
                <w:sz w:val="22"/>
                <w:szCs w:val="22"/>
                <w:lang w:bidi="en-GB"/>
              </w:rPr>
            </w:pP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It is widely acknowledged that n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ew treatment options for bacterial vaginosis are urgently needed. In this project, we will seek to develop new vaginal gel products with a view to significantly enhancing clinical outcomes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for bacterial vaginosis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. 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Compared to existing 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single-active 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>treatment options,  we will seek to develop next-generation of vaginal gel products contain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ing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combinations of active agents </w:t>
            </w:r>
            <w:r w:rsidR="0099334B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that can work synergistically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. 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The active agents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in </w:t>
            </w:r>
            <w:r w:rsidR="0099334B" w:rsidRPr="0099334B">
              <w:rPr>
                <w:rFonts w:ascii="Calibri" w:hAnsi="Calibri" w:cstheme="minorHAnsi"/>
                <w:sz w:val="22"/>
                <w:szCs w:val="22"/>
                <w:lang w:bidi="en-GB"/>
              </w:rPr>
              <w:t>the</w:t>
            </w:r>
            <w:r w:rsidR="0099334B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gel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will be judiciously selected from existing antibacterial drugs, acid-modulating agents, biofilm disruptors, prebiotics and probiotics. </w:t>
            </w:r>
          </w:p>
          <w:p w14:paraId="70AE7046" w14:textId="77777777" w:rsidR="00D319F7" w:rsidRDefault="00D7277F" w:rsidP="00D319F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jc w:val="both"/>
              <w:rPr>
                <w:rFonts w:ascii="Calibri" w:hAnsi="Calibri" w:cstheme="minorHAnsi"/>
                <w:sz w:val="22"/>
                <w:szCs w:val="22"/>
                <w:lang w:bidi="en-GB"/>
              </w:rPr>
            </w:pP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A range of vaginal g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el formulation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strategies will be investigated, including simple aqueous polymer gels and 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innovative </w:t>
            </w:r>
            <w:proofErr w:type="spellStart"/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nano</w:t>
            </w:r>
            <w:proofErr w:type="spellEnd"/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-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formulation</w:t>
            </w:r>
            <w:r w:rsidR="00EF7034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strategies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that will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</w:t>
            </w:r>
            <w:r>
              <w:rPr>
                <w:rFonts w:ascii="Calibri" w:hAnsi="Calibri" w:cstheme="minorHAnsi"/>
                <w:sz w:val="22"/>
                <w:szCs w:val="22"/>
                <w:lang w:bidi="en-GB"/>
              </w:rPr>
              <w:t>allow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</w:t>
            </w:r>
            <w:r w:rsidR="00EF7034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both </w:t>
            </w:r>
            <w:r w:rsidR="00D05BB9"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hydrophilic and lipophilic drugs to be incorporated into the gel. </w:t>
            </w:r>
          </w:p>
          <w:p w14:paraId="6DE4E817" w14:textId="575594EC" w:rsidR="007F3CD9" w:rsidRPr="00D05BB9" w:rsidRDefault="00D05BB9" w:rsidP="00D319F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jc w:val="both"/>
              <w:rPr>
                <w:rFonts w:ascii="Calibri" w:hAnsi="Calibri" w:cstheme="minorHAnsi"/>
                <w:lang w:bidi="en-GB"/>
              </w:rPr>
            </w:pP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The </w:t>
            </w:r>
            <w:r w:rsidR="00D319F7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successful applicant will 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work as part of </w:t>
            </w:r>
            <w:r w:rsidR="00D319F7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a 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world-leading research group</w:t>
            </w:r>
            <w:r w:rsidR="00D319F7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with widely-reputed expertise in vaginal drug delivery. The applicant will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 be </w:t>
            </w:r>
            <w:r w:rsidR="00D319F7">
              <w:rPr>
                <w:rFonts w:ascii="Calibri" w:hAnsi="Calibri" w:cstheme="minorHAnsi"/>
                <w:sz w:val="22"/>
                <w:szCs w:val="22"/>
                <w:lang w:bidi="en-GB"/>
              </w:rPr>
              <w:t xml:space="preserve">expertly </w:t>
            </w:r>
            <w:r w:rsidRPr="00F32705">
              <w:rPr>
                <w:rFonts w:ascii="Calibri" w:hAnsi="Calibri" w:cstheme="minorHAnsi"/>
                <w:sz w:val="22"/>
                <w:szCs w:val="22"/>
                <w:lang w:bidi="en-GB"/>
              </w:rPr>
              <w:t>trained in key skills pertaining to drug delivery, pharmaceutical formulation and analytical testing of drug products.</w:t>
            </w:r>
          </w:p>
        </w:tc>
      </w:tr>
      <w:tr w:rsidR="00695F66" w14:paraId="7DB93E21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2127AF" w14:textId="77777777" w:rsidR="00695F66" w:rsidRDefault="000F6B4D">
            <w:pPr>
              <w:rPr>
                <w:b/>
              </w:rPr>
            </w:pPr>
            <w:r>
              <w:rPr>
                <w:b/>
              </w:rPr>
              <w:lastRenderedPageBreak/>
              <w:t>*Supervisor(s)</w:t>
            </w:r>
          </w:p>
        </w:tc>
        <w:tc>
          <w:tcPr>
            <w:tcW w:w="7730" w:type="dxa"/>
          </w:tcPr>
          <w:p w14:paraId="75FC289B" w14:textId="3E3F37A9" w:rsidR="00B4262C" w:rsidRPr="002963E1" w:rsidRDefault="00502C57" w:rsidP="00B4262C">
            <w:pPr>
              <w:rPr>
                <w:rFonts w:ascii="Calibri" w:eastAsia="Calibri" w:hAnsi="Calibri"/>
              </w:rPr>
            </w:pPr>
            <w:r>
              <w:t xml:space="preserve"> </w:t>
            </w:r>
            <w:proofErr w:type="spellStart"/>
            <w:r w:rsidR="00D05BB9" w:rsidRPr="00D05BB9">
              <w:t>Prof.</w:t>
            </w:r>
            <w:proofErr w:type="spellEnd"/>
            <w:r w:rsidR="00D05BB9" w:rsidRPr="00D05BB9">
              <w:t xml:space="preserve"> Karl Malcolm</w:t>
            </w:r>
            <w:r w:rsidR="00D05BB9">
              <w:t xml:space="preserve"> &amp; </w:t>
            </w:r>
            <w:proofErr w:type="spellStart"/>
            <w:r w:rsidR="00D05BB9">
              <w:t>Dr.</w:t>
            </w:r>
            <w:proofErr w:type="spellEnd"/>
            <w:r w:rsidR="00D05BB9">
              <w:t xml:space="preserve"> </w:t>
            </w:r>
            <w:proofErr w:type="spellStart"/>
            <w:r w:rsidR="00D05BB9">
              <w:t>Taher</w:t>
            </w:r>
            <w:proofErr w:type="spellEnd"/>
            <w:r w:rsidR="00D05BB9">
              <w:t xml:space="preserve"> </w:t>
            </w:r>
            <w:proofErr w:type="spellStart"/>
            <w:r w:rsidR="00D05BB9">
              <w:t>Hatahet</w:t>
            </w:r>
            <w:proofErr w:type="spellEnd"/>
          </w:p>
          <w:p w14:paraId="65AECB47" w14:textId="77777777" w:rsidR="002963E1" w:rsidRPr="002963E1" w:rsidRDefault="002963E1">
            <w:pPr>
              <w:rPr>
                <w:rFonts w:ascii="Calibri" w:eastAsia="Calibri" w:hAnsi="Calibri"/>
              </w:rPr>
            </w:pPr>
          </w:p>
        </w:tc>
      </w:tr>
      <w:tr w:rsidR="007F3CD9" w14:paraId="55ABFE8F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469161F0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1B792D">
              <w:rPr>
                <w:b/>
              </w:rPr>
              <w:t xml:space="preserve">Eligibility / residence </w:t>
            </w:r>
            <w:r w:rsidR="007F3CD9">
              <w:rPr>
                <w:b/>
              </w:rPr>
              <w:t>Status</w:t>
            </w:r>
          </w:p>
        </w:tc>
        <w:tc>
          <w:tcPr>
            <w:tcW w:w="7730" w:type="dxa"/>
          </w:tcPr>
          <w:p w14:paraId="52670808" w14:textId="35AF2D63" w:rsidR="007F3CD9" w:rsidRPr="007F3CD9" w:rsidRDefault="00E41D43">
            <w:r>
              <w:t xml:space="preserve">UK/EU for </w:t>
            </w:r>
            <w:proofErr w:type="spellStart"/>
            <w:r>
              <w:t>DfE</w:t>
            </w:r>
            <w:proofErr w:type="spellEnd"/>
            <w:r>
              <w:t xml:space="preserve"> studentship; worldwide applications for self-funded students</w:t>
            </w:r>
          </w:p>
        </w:tc>
      </w:tr>
      <w:tr w:rsidR="007F3CD9" w14:paraId="373845E5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4251A41E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730" w:type="dxa"/>
          </w:tcPr>
          <w:p w14:paraId="5111E984" w14:textId="04C99646" w:rsidR="007F3CD9" w:rsidRDefault="007C3A10">
            <w:r>
              <w:t>Northern Ireland</w:t>
            </w:r>
            <w:r w:rsidR="00E41D43">
              <w:t>, United Kingdom (UK)</w:t>
            </w:r>
          </w:p>
        </w:tc>
      </w:tr>
      <w:tr w:rsidR="007F3CD9" w14:paraId="5117AF00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04DE2CF9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5A700A92" w14:textId="3338DC79" w:rsidR="007F3CD9" w:rsidRDefault="00B4262C" w:rsidP="007F3CD9">
            <w:r>
              <w:t xml:space="preserve">1 October </w:t>
            </w:r>
            <w:r w:rsidR="00A94094">
              <w:t>2022</w:t>
            </w:r>
          </w:p>
          <w:p w14:paraId="17527322" w14:textId="77777777" w:rsidR="007F3CD9" w:rsidRDefault="007F3CD9" w:rsidP="003A76E9"/>
        </w:tc>
      </w:tr>
      <w:tr w:rsidR="007F3CD9" w14:paraId="232A85F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4A17010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Faculty</w:t>
            </w:r>
          </w:p>
        </w:tc>
        <w:tc>
          <w:tcPr>
            <w:tcW w:w="7730" w:type="dxa"/>
          </w:tcPr>
          <w:p w14:paraId="1054E038" w14:textId="77777777" w:rsidR="007F3CD9" w:rsidRDefault="007C3A10">
            <w:r>
              <w:t>MHLS</w:t>
            </w:r>
          </w:p>
        </w:tc>
      </w:tr>
      <w:tr w:rsidR="007F3CD9" w14:paraId="3D0AD906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3162CC85" w14:textId="77777777" w:rsidR="007F3CD9" w:rsidRP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 w:rsidRPr="007F3CD9">
              <w:rPr>
                <w:b/>
              </w:rPr>
              <w:t>Research centre / School</w:t>
            </w:r>
          </w:p>
        </w:tc>
        <w:tc>
          <w:tcPr>
            <w:tcW w:w="7730" w:type="dxa"/>
          </w:tcPr>
          <w:p w14:paraId="364CD818" w14:textId="77777777" w:rsidR="007F3CD9" w:rsidRDefault="007C3A10">
            <w:r>
              <w:t>Pharmacy</w:t>
            </w:r>
          </w:p>
        </w:tc>
      </w:tr>
      <w:tr w:rsidR="001B792D" w14:paraId="12BF38F3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64349FE2" w14:textId="77777777" w:rsidR="001B792D" w:rsidRDefault="001B792D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7730" w:type="dxa"/>
          </w:tcPr>
          <w:p w14:paraId="51E67FBC" w14:textId="1E684F2B" w:rsidR="001B792D" w:rsidRDefault="00D05BB9">
            <w:r>
              <w:t>Drug delivery; pharmaceutics</w:t>
            </w:r>
          </w:p>
        </w:tc>
      </w:tr>
      <w:tr w:rsidR="007F3CD9" w14:paraId="4C637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4CF87A19" w14:textId="77777777" w:rsidR="007F3CD9" w:rsidRDefault="001B792D">
            <w:pPr>
              <w:rPr>
                <w:b/>
              </w:rPr>
            </w:pPr>
            <w:r>
              <w:rPr>
                <w:b/>
              </w:rPr>
              <w:t>Candidate requirements / K</w:t>
            </w:r>
            <w:r w:rsidR="00695F66">
              <w:rPr>
                <w:b/>
              </w:rPr>
              <w:t xml:space="preserve">ey skills required for the post </w:t>
            </w:r>
          </w:p>
          <w:p w14:paraId="7370F748" w14:textId="77777777" w:rsidR="00695F66" w:rsidRPr="007F3CD9" w:rsidRDefault="00695F66">
            <w:pPr>
              <w:rPr>
                <w:b/>
              </w:rPr>
            </w:pPr>
          </w:p>
        </w:tc>
        <w:tc>
          <w:tcPr>
            <w:tcW w:w="7730" w:type="dxa"/>
          </w:tcPr>
          <w:p w14:paraId="4FCB7C11" w14:textId="77777777" w:rsidR="007F3CD9" w:rsidRPr="007C3A10" w:rsidRDefault="007C3A10">
            <w:r w:rsidRPr="007C3A10">
              <w:rPr>
                <w:rFonts w:cs="Arial"/>
              </w:rPr>
              <w:t>Applicants should have a 1st or 2.1 honours degree (or equivalent) in a relevant subject. Relevant subjects include Pharmacy, Molecular Biology, Pharmaceutical Sciences, Biochemistry, Biological/Biomedical Sciences,</w:t>
            </w:r>
            <w:r w:rsidR="002F06D8">
              <w:rPr>
                <w:rFonts w:cs="Arial"/>
              </w:rPr>
              <w:t xml:space="preserve"> </w:t>
            </w:r>
            <w:r w:rsidRPr="007C3A10">
              <w:rPr>
                <w:rFonts w:cs="Arial"/>
              </w:rPr>
              <w:t>Chemistry, Engineering</w:t>
            </w:r>
            <w:r w:rsidR="00E41AE4">
              <w:rPr>
                <w:rFonts w:cs="Arial"/>
              </w:rPr>
              <w:t xml:space="preserve">, or </w:t>
            </w:r>
            <w:r w:rsidRPr="007C3A10">
              <w:rPr>
                <w:rFonts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</w:p>
        </w:tc>
      </w:tr>
      <w:tr w:rsidR="007F3CD9" w14:paraId="6F083140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FA0C38A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>Deadline for applications</w:t>
            </w:r>
          </w:p>
        </w:tc>
        <w:tc>
          <w:tcPr>
            <w:tcW w:w="7730" w:type="dxa"/>
          </w:tcPr>
          <w:p w14:paraId="757A4724" w14:textId="1E29364A" w:rsidR="007F3CD9" w:rsidRDefault="00DF2F8B" w:rsidP="00DF2F8B">
            <w:r>
              <w:t>Self</w:t>
            </w:r>
            <w:r w:rsidR="0023449B">
              <w:t xml:space="preserve">-funded applicants </w:t>
            </w:r>
            <w:r w:rsidR="00D05BB9">
              <w:t xml:space="preserve">considered all year </w:t>
            </w:r>
          </w:p>
        </w:tc>
      </w:tr>
      <w:tr w:rsidR="007F3CD9" w14:paraId="74D33DA5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28566A26" w14:textId="77777777" w:rsidR="007F3CD9" w:rsidRDefault="00695F66">
            <w:pPr>
              <w:rPr>
                <w:b/>
              </w:rPr>
            </w:pPr>
            <w:r>
              <w:rPr>
                <w:b/>
              </w:rPr>
              <w:t>*</w:t>
            </w:r>
            <w:r w:rsidR="007F3CD9">
              <w:rPr>
                <w:b/>
              </w:rPr>
              <w:t>How to apply / contacts</w:t>
            </w:r>
          </w:p>
        </w:tc>
        <w:tc>
          <w:tcPr>
            <w:tcW w:w="7730" w:type="dxa"/>
          </w:tcPr>
          <w:p w14:paraId="1632FE10" w14:textId="77777777" w:rsidR="007F3CD9" w:rsidRDefault="007F3CD9">
            <w:r w:rsidRPr="007F3CD9">
              <w:t>Postgraduate Research applicants</w:t>
            </w:r>
            <w:r w:rsidR="007C3A10">
              <w:t xml:space="preserve"> for</w:t>
            </w:r>
            <w:r w:rsidRPr="007F3CD9">
              <w:t xml:space="preserve"> </w:t>
            </w:r>
            <w:r w:rsidR="007C3A10">
              <w:t xml:space="preserve">Pharmacy </w:t>
            </w:r>
            <w:r w:rsidRPr="007F3CD9">
              <w:t xml:space="preserve">who are interested in applying for a fully funded </w:t>
            </w:r>
            <w:r w:rsidR="007C3A10">
              <w:t>DFE</w:t>
            </w:r>
            <w:r w:rsidRPr="007F3CD9">
              <w:t xml:space="preserve"> studentship must have applied to Queen’s, via the Direct Applications Portal, and submitted all required supporting documents by the closing date, which will be announced later in the Academic year.</w:t>
            </w:r>
          </w:p>
          <w:p w14:paraId="3D495F83" w14:textId="77777777" w:rsidR="007F3CD9" w:rsidRDefault="007F3CD9"/>
          <w:p w14:paraId="42E20B2B" w14:textId="77777777" w:rsidR="007F3CD9" w:rsidRDefault="00DF2F8B">
            <w:hyperlink r:id="rId5" w:history="1">
              <w:r w:rsidR="007F3CD9" w:rsidRPr="00920649">
                <w:rPr>
                  <w:rStyle w:val="Hyperlink"/>
                </w:rPr>
                <w:t>https://dap.qub.ac.uk/portal/user/u_login.php</w:t>
              </w:r>
            </w:hyperlink>
            <w:r w:rsidR="007F3CD9">
              <w:t xml:space="preserve"> </w:t>
            </w:r>
            <w:r w:rsidR="007F3CD9">
              <w:br/>
            </w:r>
          </w:p>
        </w:tc>
      </w:tr>
      <w:tr w:rsidR="007F3CD9" w14:paraId="501B48FB" w14:textId="77777777" w:rsidTr="00873281">
        <w:trPr>
          <w:trHeight w:val="2715"/>
        </w:trPr>
        <w:tc>
          <w:tcPr>
            <w:tcW w:w="1512" w:type="dxa"/>
            <w:shd w:val="clear" w:color="auto" w:fill="DEEAF6" w:themeFill="accent1" w:themeFillTint="33"/>
          </w:tcPr>
          <w:p w14:paraId="66F0D8A7" w14:textId="77777777" w:rsidR="007F3CD9" w:rsidRPr="007F3CD9" w:rsidRDefault="007F3CD9">
            <w:pPr>
              <w:rPr>
                <w:b/>
              </w:rPr>
            </w:pPr>
            <w:r>
              <w:rPr>
                <w:b/>
              </w:rPr>
              <w:t>Relevant</w:t>
            </w:r>
            <w:r w:rsidRPr="007F3CD9">
              <w:rPr>
                <w:b/>
              </w:rPr>
              <w:t xml:space="preserve"> links </w:t>
            </w:r>
            <w:r w:rsidR="001B792D">
              <w:rPr>
                <w:b/>
              </w:rPr>
              <w:t xml:space="preserve">/ more information </w:t>
            </w:r>
          </w:p>
          <w:p w14:paraId="40B4664B" w14:textId="77777777" w:rsidR="007F3CD9" w:rsidRDefault="007F3CD9"/>
        </w:tc>
        <w:tc>
          <w:tcPr>
            <w:tcW w:w="7730" w:type="dxa"/>
          </w:tcPr>
          <w:p w14:paraId="63C52D1A" w14:textId="77777777" w:rsidR="007F3CD9" w:rsidRDefault="007F3CD9"/>
          <w:p w14:paraId="1E6020D4" w14:textId="77777777" w:rsidR="007F3CD9" w:rsidRDefault="00DF2F8B">
            <w:hyperlink r:id="rId6" w:history="1">
              <w:r w:rsidR="007C3A10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68D82B72" w14:textId="77777777" w:rsidR="007C3A10" w:rsidRDefault="007C3A10"/>
          <w:p w14:paraId="4807AABA" w14:textId="77777777" w:rsidR="007C3A10" w:rsidRDefault="00DF2F8B">
            <w:pPr>
              <w:rPr>
                <w:rStyle w:val="Hyperlink"/>
              </w:rPr>
            </w:pPr>
            <w:hyperlink r:id="rId7" w:history="1">
              <w:r w:rsidR="007C3A10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692D7424" w14:textId="77777777" w:rsidR="00960566" w:rsidRDefault="00960566">
            <w:pPr>
              <w:rPr>
                <w:rStyle w:val="Hyperlink"/>
              </w:rPr>
            </w:pPr>
          </w:p>
          <w:p w14:paraId="0FCD695D" w14:textId="77777777" w:rsidR="00960566" w:rsidRDefault="00960566" w:rsidP="00960566"/>
          <w:p w14:paraId="564FD7EB" w14:textId="77777777" w:rsidR="007C3A10" w:rsidRDefault="007C3A10"/>
        </w:tc>
      </w:tr>
      <w:tr w:rsidR="001B792D" w14:paraId="0C399685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41CBB3A1" w14:textId="77777777" w:rsidR="001B792D" w:rsidRDefault="001B792D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7730" w:type="dxa"/>
          </w:tcPr>
          <w:p w14:paraId="3EB6F74A" w14:textId="732FD768" w:rsidR="001B792D" w:rsidRDefault="0023449B">
            <w:r>
              <w:t xml:space="preserve">Vaginal gels; drug delivery; bacterial vaginosis; formulation; </w:t>
            </w:r>
          </w:p>
        </w:tc>
      </w:tr>
      <w:tr w:rsidR="001B792D" w14:paraId="319474D5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18502E7B" w14:textId="77777777" w:rsidR="001B792D" w:rsidRDefault="001B792D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463DEFF0" w14:textId="77777777" w:rsidR="0023449B" w:rsidRPr="00EF2949" w:rsidRDefault="0023449B" w:rsidP="0023449B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The project will provide hands-on training for the student in the following techniques: </w:t>
            </w:r>
          </w:p>
          <w:p w14:paraId="512AA094" w14:textId="77777777" w:rsidR="0023449B" w:rsidRPr="00EF2949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drug formulation methods </w:t>
            </w:r>
          </w:p>
          <w:p w14:paraId="6B5F3829" w14:textId="079EEE33" w:rsidR="0023449B" w:rsidRPr="00EF2949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preparation and characterisation of </w:t>
            </w:r>
            <w:r>
              <w:rPr>
                <w:rFonts w:ascii="Calibri" w:hAnsi="Calibri" w:cs="Calibri"/>
                <w:sz w:val="22"/>
                <w:szCs w:val="22"/>
              </w:rPr>
              <w:t>drug delivery gels</w:t>
            </w:r>
          </w:p>
          <w:p w14:paraId="2A367E7C" w14:textId="77777777" w:rsidR="0023449B" w:rsidRPr="00EF2949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drug quantification using high performance liquid chromatography (HPLC) </w:t>
            </w:r>
          </w:p>
          <w:p w14:paraId="079F3650" w14:textId="77777777" w:rsidR="0023449B" w:rsidRPr="00EF2949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in vitro drug release testing </w:t>
            </w:r>
          </w:p>
          <w:p w14:paraId="01F357AF" w14:textId="77777777" w:rsidR="0023449B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thermal analysis methods </w:t>
            </w:r>
          </w:p>
          <w:p w14:paraId="5A302D9C" w14:textId="77777777" w:rsidR="0023449B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3449B">
              <w:rPr>
                <w:rFonts w:ascii="Calibri" w:hAnsi="Calibri" w:cs="Calibri"/>
                <w:sz w:val="22"/>
                <w:szCs w:val="22"/>
              </w:rPr>
              <w:t xml:space="preserve">rheological and mechanical test methods for gels </w:t>
            </w:r>
          </w:p>
          <w:p w14:paraId="1DE5D600" w14:textId="73705EE5" w:rsidR="0023449B" w:rsidRPr="0023449B" w:rsidRDefault="0023449B" w:rsidP="0023449B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microbiological assessments</w:t>
            </w:r>
          </w:p>
          <w:p w14:paraId="575D8FE3" w14:textId="592FE80B" w:rsidR="0023449B" w:rsidRPr="0023449B" w:rsidRDefault="0023449B" w:rsidP="0023449B">
            <w:pPr>
              <w:pStyle w:val="NormalWeb"/>
              <w:ind w:left="208"/>
              <w:rPr>
                <w:rFonts w:ascii="Calibri" w:hAnsi="Calibri" w:cs="Calibri"/>
                <w:sz w:val="22"/>
                <w:szCs w:val="22"/>
              </w:rPr>
            </w:pPr>
            <w:r w:rsidRPr="0023449B">
              <w:rPr>
                <w:rFonts w:ascii="Calibri" w:hAnsi="Calibri" w:cs="Calibri"/>
                <w:sz w:val="22"/>
                <w:szCs w:val="22"/>
              </w:rPr>
              <w:t xml:space="preserve">As an integral part of the project, the student will further develop the following key skills: </w:t>
            </w:r>
          </w:p>
          <w:p w14:paraId="3B65E409" w14:textId="77777777" w:rsidR="0023449B" w:rsidRPr="00EF2949" w:rsidRDefault="0023449B" w:rsidP="0023449B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F2949">
              <w:rPr>
                <w:rFonts w:ascii="Calibri" w:hAnsi="Calibri" w:cs="Calibri"/>
                <w:sz w:val="22"/>
                <w:szCs w:val="22"/>
              </w:rPr>
              <w:t xml:space="preserve">planning and organising: designing and planning of experiments </w:t>
            </w:r>
          </w:p>
          <w:p w14:paraId="4EEA0EAD" w14:textId="77777777" w:rsidR="0023449B" w:rsidRPr="00C75287" w:rsidRDefault="0023449B" w:rsidP="0023449B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75287">
              <w:rPr>
                <w:rFonts w:ascii="Calibri" w:hAnsi="Calibri" w:cs="Calibri"/>
                <w:sz w:val="22"/>
                <w:szCs w:val="22"/>
              </w:rPr>
              <w:t xml:space="preserve">numeracy and statistical skills </w:t>
            </w:r>
          </w:p>
          <w:p w14:paraId="0441E1C9" w14:textId="77777777" w:rsidR="0023449B" w:rsidRPr="00C75287" w:rsidRDefault="0023449B" w:rsidP="0023449B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75287">
              <w:rPr>
                <w:rFonts w:ascii="Calibri" w:hAnsi="Calibri" w:cs="Calibri"/>
                <w:sz w:val="22"/>
                <w:szCs w:val="22"/>
              </w:rPr>
              <w:t xml:space="preserve">teamwork: working confidently as part of a large research team </w:t>
            </w:r>
          </w:p>
          <w:p w14:paraId="5713E712" w14:textId="77777777" w:rsidR="001B792D" w:rsidRDefault="001B792D" w:rsidP="00B4262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70"/>
                <w:tab w:val="left" w:pos="8647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pacing w:after="0"/>
              <w:jc w:val="both"/>
            </w:pPr>
          </w:p>
        </w:tc>
      </w:tr>
      <w:tr w:rsidR="001B792D" w14:paraId="4C27B19A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752DA4F" w14:textId="77777777" w:rsidR="001B792D" w:rsidRDefault="001B792D">
            <w:pPr>
              <w:rPr>
                <w:b/>
              </w:rPr>
            </w:pPr>
            <w:r>
              <w:rPr>
                <w:b/>
              </w:rPr>
              <w:lastRenderedPageBreak/>
              <w:t>Expected impact activities</w:t>
            </w:r>
          </w:p>
        </w:tc>
        <w:tc>
          <w:tcPr>
            <w:tcW w:w="7730" w:type="dxa"/>
          </w:tcPr>
          <w:p w14:paraId="308DD4C1" w14:textId="0411CF0D" w:rsidR="001B792D" w:rsidRPr="0023449B" w:rsidRDefault="0023449B" w:rsidP="00B4262C">
            <w:pPr>
              <w:pStyle w:val="Header"/>
              <w:tabs>
                <w:tab w:val="clear" w:pos="4153"/>
                <w:tab w:val="clear" w:pos="8306"/>
                <w:tab w:val="left" w:pos="720"/>
              </w:tabs>
              <w:ind w:right="-135"/>
              <w:rPr>
                <w:rFonts w:ascii="Calibri" w:hAnsi="Calibri" w:cs="Calibri"/>
                <w:sz w:val="22"/>
                <w:szCs w:val="22"/>
              </w:rPr>
            </w:pPr>
            <w:r w:rsidRPr="0023449B">
              <w:rPr>
                <w:rFonts w:ascii="Calibri" w:hAnsi="Calibri" w:cs="Calibri"/>
                <w:sz w:val="22"/>
                <w:szCs w:val="22"/>
              </w:rPr>
              <w:t>We anticipate that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project will lead to new gel-based products with increased efficacy against bacterial vaginosis.</w:t>
            </w:r>
            <w:r w:rsidRPr="002344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29D53158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DF2"/>
    <w:multiLevelType w:val="multilevel"/>
    <w:tmpl w:val="701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60515"/>
    <w:multiLevelType w:val="multilevel"/>
    <w:tmpl w:val="3A0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9"/>
    <w:rsid w:val="00001543"/>
    <w:rsid w:val="00002F77"/>
    <w:rsid w:val="000140E0"/>
    <w:rsid w:val="00017B3A"/>
    <w:rsid w:val="000211E7"/>
    <w:rsid w:val="00036AC1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7B6D"/>
    <w:rsid w:val="0013226E"/>
    <w:rsid w:val="00136716"/>
    <w:rsid w:val="00136A7C"/>
    <w:rsid w:val="0014119A"/>
    <w:rsid w:val="00147201"/>
    <w:rsid w:val="00152845"/>
    <w:rsid w:val="00152DAA"/>
    <w:rsid w:val="00152DD3"/>
    <w:rsid w:val="00157E70"/>
    <w:rsid w:val="001757EF"/>
    <w:rsid w:val="001865C3"/>
    <w:rsid w:val="00190974"/>
    <w:rsid w:val="001976E1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699C"/>
    <w:rsid w:val="00211ADC"/>
    <w:rsid w:val="0023305E"/>
    <w:rsid w:val="0023449B"/>
    <w:rsid w:val="00234A97"/>
    <w:rsid w:val="002438AA"/>
    <w:rsid w:val="0024565D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6F4F"/>
    <w:rsid w:val="002B644E"/>
    <w:rsid w:val="002B6455"/>
    <w:rsid w:val="002E0374"/>
    <w:rsid w:val="002E6701"/>
    <w:rsid w:val="002F06D8"/>
    <w:rsid w:val="002F38B4"/>
    <w:rsid w:val="002F3D8F"/>
    <w:rsid w:val="00300B77"/>
    <w:rsid w:val="00303DAB"/>
    <w:rsid w:val="003107F1"/>
    <w:rsid w:val="0031224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80978"/>
    <w:rsid w:val="00480D4A"/>
    <w:rsid w:val="0048607D"/>
    <w:rsid w:val="004874AA"/>
    <w:rsid w:val="004A4702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1A46"/>
    <w:rsid w:val="00550AAE"/>
    <w:rsid w:val="00553AB1"/>
    <w:rsid w:val="00567EBE"/>
    <w:rsid w:val="0058648B"/>
    <w:rsid w:val="00594A30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20F2B"/>
    <w:rsid w:val="00727F85"/>
    <w:rsid w:val="007347D4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93FA5"/>
    <w:rsid w:val="007B185B"/>
    <w:rsid w:val="007B1FB4"/>
    <w:rsid w:val="007B2C32"/>
    <w:rsid w:val="007B515E"/>
    <w:rsid w:val="007B5CF8"/>
    <w:rsid w:val="007B6E4A"/>
    <w:rsid w:val="007C3A10"/>
    <w:rsid w:val="007D2A36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C083D"/>
    <w:rsid w:val="008F1C24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91636"/>
    <w:rsid w:val="0099334B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094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BAC"/>
    <w:rsid w:val="00B55E28"/>
    <w:rsid w:val="00B6354C"/>
    <w:rsid w:val="00B703CE"/>
    <w:rsid w:val="00BA71ED"/>
    <w:rsid w:val="00BB6F08"/>
    <w:rsid w:val="00BC2944"/>
    <w:rsid w:val="00BE346B"/>
    <w:rsid w:val="00BF08BD"/>
    <w:rsid w:val="00BF17EC"/>
    <w:rsid w:val="00BF4B26"/>
    <w:rsid w:val="00BF57DC"/>
    <w:rsid w:val="00C12418"/>
    <w:rsid w:val="00C2183A"/>
    <w:rsid w:val="00C263B0"/>
    <w:rsid w:val="00C31A8A"/>
    <w:rsid w:val="00C3441B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50BE"/>
    <w:rsid w:val="00CE6CFB"/>
    <w:rsid w:val="00D00807"/>
    <w:rsid w:val="00D0311E"/>
    <w:rsid w:val="00D05BB9"/>
    <w:rsid w:val="00D113D5"/>
    <w:rsid w:val="00D11B48"/>
    <w:rsid w:val="00D1708D"/>
    <w:rsid w:val="00D23483"/>
    <w:rsid w:val="00D319F7"/>
    <w:rsid w:val="00D31D29"/>
    <w:rsid w:val="00D367BF"/>
    <w:rsid w:val="00D5030D"/>
    <w:rsid w:val="00D5690F"/>
    <w:rsid w:val="00D57854"/>
    <w:rsid w:val="00D64E36"/>
    <w:rsid w:val="00D7277F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DF2F8B"/>
    <w:rsid w:val="00E11BB2"/>
    <w:rsid w:val="00E166B5"/>
    <w:rsid w:val="00E177D8"/>
    <w:rsid w:val="00E2148C"/>
    <w:rsid w:val="00E27D11"/>
    <w:rsid w:val="00E35E2D"/>
    <w:rsid w:val="00E36870"/>
    <w:rsid w:val="00E41AE4"/>
    <w:rsid w:val="00E41D43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2500"/>
    <w:rsid w:val="00EE3B21"/>
    <w:rsid w:val="00EE5C5D"/>
    <w:rsid w:val="00EE693D"/>
    <w:rsid w:val="00EF23A4"/>
    <w:rsid w:val="00EF271B"/>
    <w:rsid w:val="00EF7034"/>
    <w:rsid w:val="00F1151C"/>
    <w:rsid w:val="00F2645B"/>
    <w:rsid w:val="00F276FA"/>
    <w:rsid w:val="00F32705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BDB"/>
    <w:rsid w:val="00F848EA"/>
    <w:rsid w:val="00F90DB4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4FB78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3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b.ac.uk/schools/SchoolofPharmacy/Research/PostgraduatePositions/" TargetMode="External"/><Relationship Id="rId5" Type="http://schemas.openxmlformats.org/officeDocument/2006/relationships/hyperlink" Target="https://dap.qub.ac.uk/portal/user/u_log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Jess</dc:creator>
  <cp:lastModifiedBy>Adam Ringland</cp:lastModifiedBy>
  <cp:revision>2</cp:revision>
  <dcterms:created xsi:type="dcterms:W3CDTF">2022-03-08T13:17:00Z</dcterms:created>
  <dcterms:modified xsi:type="dcterms:W3CDTF">2022-03-08T13:17:00Z</dcterms:modified>
</cp:coreProperties>
</file>