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401AFBFA" w:rsidR="007F3CD9" w:rsidRPr="001D5159" w:rsidRDefault="005A158F" w:rsidP="0066316A">
            <w:pPr>
              <w:rPr>
                <w:rFonts w:ascii="Calibri" w:hAnsi="Calibri"/>
              </w:rPr>
            </w:pPr>
            <w:r>
              <w:rPr>
                <w:rStyle w:val="Strong"/>
                <w:rFonts w:ascii="Arial Nova" w:hAnsi="Arial Nova" w:cs="Arial"/>
                <w:color w:val="C00000"/>
              </w:rPr>
              <w:t xml:space="preserve"> </w:t>
            </w:r>
            <w:r w:rsidRPr="005A158F">
              <w:rPr>
                <w:rStyle w:val="Strong"/>
                <w:rFonts w:ascii="Arial Nova" w:hAnsi="Arial Nova"/>
                <w:color w:val="C00000"/>
              </w:rPr>
              <w:t>AVACTA (All-island Vaccine Research and Training Alliance)</w:t>
            </w:r>
            <w:proofErr w:type="spellStart"/>
            <w:r>
              <w:rPr>
                <w:rStyle w:val="Strong"/>
                <w:rFonts w:ascii="Arial Nova" w:hAnsi="Arial Nova"/>
                <w:color w:val="C00000"/>
              </w:rPr>
              <w:t xml:space="preserve"> </w:t>
            </w:r>
            <w:r w:rsidR="00F25DD2">
              <w:rPr>
                <w:rStyle w:val="Strong"/>
                <w:rFonts w:ascii="Arial Nova" w:hAnsi="Arial Nova" w:cs="Arial"/>
                <w:color w:val="C00000"/>
              </w:rPr>
              <w:t>Mucosall</w:t>
            </w:r>
            <w:proofErr w:type="spellEnd"/>
            <w:r w:rsidR="00F25DD2">
              <w:rPr>
                <w:rStyle w:val="Strong"/>
                <w:rFonts w:ascii="Arial Nova" w:hAnsi="Arial Nova" w:cs="Arial"/>
                <w:color w:val="C00000"/>
              </w:rPr>
              <w:t xml:space="preserve">y delivered vaccines </w:t>
            </w:r>
            <w:r w:rsidR="00F25DD2" w:rsidRPr="00EE3179">
              <w:rPr>
                <w:rStyle w:val="Strong"/>
                <w:rFonts w:ascii="Arial Nova" w:hAnsi="Arial Nova" w:cs="Arial"/>
                <w:color w:val="C00000"/>
              </w:rPr>
              <w:t>containing novel ESKAPE antigens</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8FF48B0" w14:textId="73ACBBE8" w:rsidR="007F3CD9" w:rsidRPr="001D5159" w:rsidRDefault="00F25DD2">
            <w:pPr>
              <w:rPr>
                <w:rFonts w:ascii="Calibri" w:hAnsi="Calibri"/>
              </w:rPr>
            </w:pPr>
            <w:r>
              <w:rPr>
                <w:rFonts w:ascii="Calibri" w:hAnsi="Calibri"/>
              </w:rPr>
              <w:t>Fully funded</w:t>
            </w: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62B2418A" w:rsidR="007F3CD9" w:rsidRPr="001D5159" w:rsidRDefault="00F25DD2">
            <w:pPr>
              <w:rPr>
                <w:rFonts w:ascii="Calibri" w:hAnsi="Calibri"/>
              </w:rPr>
            </w:pPr>
            <w:r>
              <w:rPr>
                <w:rFonts w:ascii="Calibri" w:hAnsi="Calibri"/>
              </w:rPr>
              <w:t>Irish Higher Education Authority North-South Programme</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092B0150" w:rsidR="007F3CD9" w:rsidRPr="001D5159" w:rsidRDefault="00F25DD2">
            <w:pPr>
              <w:rPr>
                <w:rFonts w:ascii="Calibri" w:hAnsi="Calibri"/>
              </w:rPr>
            </w:pPr>
            <w:r>
              <w:rPr>
                <w:rFonts w:ascii="Calibri" w:hAnsi="Calibri"/>
              </w:rPr>
              <w:t>2</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69C31F4A" w14:textId="34BEF202" w:rsidR="00257E72" w:rsidRPr="001D5159" w:rsidRDefault="005A158F" w:rsidP="003125A1">
            <w:pPr>
              <w:jc w:val="both"/>
              <w:rPr>
                <w:rFonts w:ascii="Calibri" w:hAnsi="Calibri"/>
                <w:lang w:val="en-US"/>
              </w:rPr>
            </w:pPr>
            <w:r w:rsidRPr="005A158F">
              <w:t xml:space="preserve">Antimicrobial resistance (AMR) poses a major global risk to human health by causing death, disability, longer hospitalisations, and increased healthcare costs. Vaccines are ideally suited to tackle this problem, improving the lives of people worldwide. The All-island Vaccine Research and Training Alliance (AVACTA) is a hub of excellence aimed to develop effective vaccines against ESKAPE </w:t>
            </w:r>
            <w:proofErr w:type="spellStart"/>
            <w:r w:rsidRPr="005A158F">
              <w:t>pathogens</w:t>
            </w:r>
            <w:r w:rsidRPr="005A158F">
              <w:t xml:space="preserve">. </w:t>
            </w:r>
            <w:r w:rsidR="00F25DD2" w:rsidRPr="005A158F">
              <w:t>Needle</w:t>
            </w:r>
            <w:proofErr w:type="spellEnd"/>
            <w:r w:rsidR="00F25DD2">
              <w:t xml:space="preserve">-free vaccines offer the possibility to develop new formats that improve both immune response and improve access.  Lead vaccine candidates, both protein and </w:t>
            </w:r>
            <w:r w:rsidR="00F25DD2" w:rsidRPr="00E556B6">
              <w:t>nucleic acid</w:t>
            </w:r>
            <w:r w:rsidR="00F25DD2">
              <w:t>-</w:t>
            </w:r>
            <w:r w:rsidR="00F25DD2" w:rsidRPr="00E556B6">
              <w:t>antigen based vaccines</w:t>
            </w:r>
            <w:r w:rsidR="00F25DD2">
              <w:t xml:space="preserve"> developed by partners in the AVATCA programme (</w:t>
            </w:r>
            <w:r w:rsidR="00F25DD2" w:rsidRPr="002B3160">
              <w:rPr>
                <w:rFonts w:ascii="Arial" w:hAnsi="Arial" w:cs="Arial"/>
                <w:color w:val="000000" w:themeColor="text1"/>
                <w:sz w:val="21"/>
                <w:szCs w:val="21"/>
                <w:lang w:eastAsia="en-IE"/>
              </w:rPr>
              <w:t>QUB, UCD, UCC and TCD</w:t>
            </w:r>
            <w:r w:rsidR="00F25DD2">
              <w:rPr>
                <w:rFonts w:ascii="Arial" w:hAnsi="Arial" w:cs="Arial"/>
                <w:color w:val="000000" w:themeColor="text1"/>
                <w:sz w:val="21"/>
                <w:szCs w:val="21"/>
                <w:lang w:eastAsia="en-IE"/>
              </w:rPr>
              <w:t>)</w:t>
            </w:r>
            <w:r w:rsidR="00F25DD2">
              <w:t xml:space="preserve"> will be formulated into nanoparticles for mucosal delivery, focussing on nasal and inhaled routes.  </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34B0EE0A" w:rsidR="00695F66" w:rsidRPr="001D5159" w:rsidRDefault="00502C57" w:rsidP="00BC3878">
            <w:pPr>
              <w:rPr>
                <w:rFonts w:ascii="Calibri" w:hAnsi="Calibri"/>
              </w:rPr>
            </w:pPr>
            <w:r w:rsidRPr="001D5159">
              <w:rPr>
                <w:rFonts w:ascii="Calibri" w:hAnsi="Calibri"/>
              </w:rPr>
              <w:t xml:space="preserve"> </w:t>
            </w:r>
            <w:r w:rsidR="00F25DD2">
              <w:rPr>
                <w:rFonts w:ascii="Calibri" w:hAnsi="Calibri"/>
              </w:rPr>
              <w:t>Dr Vicky Kett</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169AFEE" w:rsidR="007F3CD9" w:rsidRPr="001D5159" w:rsidRDefault="00F25DD2">
            <w:pPr>
              <w:rPr>
                <w:rFonts w:ascii="Calibri" w:hAnsi="Calibri"/>
              </w:rPr>
            </w:pPr>
            <w:r>
              <w:rPr>
                <w:rFonts w:ascii="Calibri" w:hAnsi="Calibri"/>
              </w:rPr>
              <w:t>UK and Ireland</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CF12486" w:rsidR="007F3CD9" w:rsidRPr="001D5159" w:rsidRDefault="00F25DD2" w:rsidP="00BC3878">
            <w:pPr>
              <w:rPr>
                <w:rFonts w:ascii="Calibri" w:hAnsi="Calibri"/>
              </w:rPr>
            </w:pPr>
            <w:r>
              <w:rPr>
                <w:rFonts w:ascii="Calibri" w:hAnsi="Calibri"/>
              </w:rPr>
              <w:t>September 1</w:t>
            </w:r>
            <w:r w:rsidRPr="00F25DD2">
              <w:rPr>
                <w:rFonts w:ascii="Calibri" w:hAnsi="Calibri"/>
                <w:vertAlign w:val="superscript"/>
              </w:rPr>
              <w:t>st</w:t>
            </w:r>
            <w:proofErr w:type="gramStart"/>
            <w:r>
              <w:rPr>
                <w:rFonts w:ascii="Calibri" w:hAnsi="Calibri"/>
              </w:rPr>
              <w:t xml:space="preserve"> 2022</w:t>
            </w:r>
            <w:proofErr w:type="gramEnd"/>
            <w:r>
              <w:rPr>
                <w:rFonts w:ascii="Calibri" w:hAnsi="Calibri"/>
              </w:rPr>
              <w:t xml:space="preserve"> (3</w:t>
            </w:r>
            <w:r w:rsidR="00DC5DC6">
              <w:rPr>
                <w:rFonts w:ascii="Calibri" w:hAnsi="Calibri"/>
              </w:rPr>
              <w:t>6 months</w:t>
            </w:r>
            <w:r>
              <w:rPr>
                <w:rFonts w:ascii="Calibri" w:hAnsi="Calibri"/>
              </w:rPr>
              <w:t>)</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40BA4C2E" w:rsidR="001B792D" w:rsidRPr="001D5159" w:rsidRDefault="005A158F">
            <w:pPr>
              <w:rPr>
                <w:rFonts w:ascii="Calibri" w:hAnsi="Calibri"/>
              </w:rPr>
            </w:pPr>
            <w:r>
              <w:rPr>
                <w:rFonts w:ascii="Calibri" w:hAnsi="Calibri"/>
              </w:rPr>
              <w:t>Mucosal vaccines, drug delivery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6FE3A4E4" w:rsidR="007F3CD9" w:rsidRPr="005A158F" w:rsidRDefault="007C3A10" w:rsidP="005A158F">
            <w:pPr>
              <w:pStyle w:val="NormalWeb"/>
              <w:shd w:val="clear" w:color="auto" w:fill="FFFFFF"/>
              <w:spacing w:before="0" w:beforeAutospacing="0" w:after="0" w:afterAutospacing="0"/>
              <w:jc w:val="both"/>
              <w:rPr>
                <w:rFonts w:asciiTheme="minorHAnsi" w:hAnsiTheme="minorHAnsi" w:cstheme="minorBidi"/>
                <w:lang w:val="en-GB" w:eastAsia="en-US"/>
              </w:rPr>
            </w:pPr>
            <w:r w:rsidRPr="00F25DD2">
              <w:rPr>
                <w:rFonts w:asciiTheme="minorHAnsi" w:hAnsiTheme="minorHAnsi" w:cstheme="minorBidi"/>
                <w:lang w:val="en-GB" w:eastAsia="en-US"/>
              </w:rPr>
              <w:t xml:space="preserve">Applicants should have a 1st or 2.1 honours degree (or equivalent) in a relevant subject. Relevant subjects include </w:t>
            </w:r>
            <w:r w:rsidR="00090D75" w:rsidRPr="00F25DD2">
              <w:rPr>
                <w:rFonts w:asciiTheme="minorHAnsi" w:hAnsiTheme="minorHAnsi" w:cstheme="minorBidi"/>
                <w:lang w:val="en-GB" w:eastAsia="en-US"/>
              </w:rPr>
              <w:t>Pharmacy, Pharmaceutical</w:t>
            </w:r>
            <w:r w:rsidRPr="00F25DD2">
              <w:rPr>
                <w:rFonts w:asciiTheme="minorHAnsi" w:hAnsiTheme="minorHAnsi" w:cstheme="minorBidi"/>
                <w:lang w:val="en-GB" w:eastAsia="en-US"/>
              </w:rPr>
              <w:t xml:space="preserve"> Sciences, Biochemistry, Biological/Biomedical Sciences,</w:t>
            </w:r>
            <w:r w:rsidR="002F06D8" w:rsidRPr="00F25DD2">
              <w:rPr>
                <w:rFonts w:asciiTheme="minorHAnsi" w:hAnsiTheme="minorHAnsi" w:cstheme="minorBidi"/>
                <w:lang w:val="en-GB" w:eastAsia="en-US"/>
              </w:rPr>
              <w:t xml:space="preserve"> </w:t>
            </w:r>
            <w:r w:rsidRPr="00F25DD2">
              <w:rPr>
                <w:rFonts w:asciiTheme="minorHAnsi" w:hAnsiTheme="minorHAnsi" w:cstheme="minorBidi"/>
                <w:lang w:val="en-GB" w:eastAsia="en-US"/>
              </w:rPr>
              <w:t>Chemistry, Engineering</w:t>
            </w:r>
            <w:r w:rsidR="00E41AE4" w:rsidRPr="00F25DD2">
              <w:rPr>
                <w:rFonts w:asciiTheme="minorHAnsi" w:hAnsiTheme="minorHAnsi" w:cstheme="minorBidi"/>
                <w:lang w:val="en-GB" w:eastAsia="en-US"/>
              </w:rPr>
              <w:t xml:space="preserve">, or </w:t>
            </w:r>
            <w:r w:rsidRPr="00F25DD2">
              <w:rPr>
                <w:rFonts w:asciiTheme="minorHAnsi" w:hAnsiTheme="minorHAnsi" w:cstheme="minorBidi"/>
                <w:lang w:val="en-GB" w:eastAsia="en-US"/>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F25DD2">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w:t>
            </w:r>
            <w:r w:rsidR="00F25DD2" w:rsidRPr="00F25DD2">
              <w:rPr>
                <w:rFonts w:asciiTheme="minorHAnsi" w:hAnsiTheme="minorHAnsi" w:cstheme="minorBidi"/>
                <w:lang w:val="en-GB" w:eastAsia="en-US"/>
              </w:rPr>
              <w:t>Technical experience and knowledge in some of the following would be desirable: pharmaceutical formulation, protein purification</w:t>
            </w:r>
            <w:r w:rsidR="005A158F">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w:t>
            </w:r>
          </w:p>
          <w:p w14:paraId="04908960" w14:textId="747FBEA3" w:rsidR="00C315D7" w:rsidRPr="00F25DD2" w:rsidRDefault="00C315D7" w:rsidP="008B1ADC"/>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66F6B79B" w:rsidR="007F3CD9" w:rsidRPr="001D5159" w:rsidRDefault="00F25DD2" w:rsidP="00C33F84">
            <w:pPr>
              <w:rPr>
                <w:rFonts w:ascii="Calibri" w:hAnsi="Calibri"/>
              </w:rPr>
            </w:pPr>
            <w:r>
              <w:rPr>
                <w:rFonts w:ascii="Calibri" w:hAnsi="Calibri"/>
              </w:rPr>
              <w:t>July 1</w:t>
            </w:r>
            <w:r w:rsidRPr="00F25DD2">
              <w:rPr>
                <w:rFonts w:ascii="Calibri" w:hAnsi="Calibri"/>
                <w:vertAlign w:val="superscript"/>
              </w:rPr>
              <w:t>st</w:t>
            </w:r>
            <w:r>
              <w:rPr>
                <w:rFonts w:ascii="Calibri" w:hAnsi="Calibri"/>
              </w:rPr>
              <w:t xml:space="preserve"> 2022</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4B59AD">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4B59AD">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4B59AD">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5A72FDCE" w:rsidR="001B792D" w:rsidRPr="001D5159" w:rsidRDefault="00F25DD2" w:rsidP="0066260E">
            <w:pPr>
              <w:jc w:val="both"/>
              <w:rPr>
                <w:rFonts w:ascii="Calibri" w:hAnsi="Calibri"/>
              </w:rPr>
            </w:pPr>
            <w:r>
              <w:rPr>
                <w:rFonts w:ascii="Calibri" w:hAnsi="Calibri"/>
              </w:rPr>
              <w:t>Vaccine, nasal, inhaled, nanoparticles, drug delivery, mucosal, pharmaceutical</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50C40384" w14:textId="3A829DA4" w:rsidR="00090D75" w:rsidRPr="001D5159" w:rsidRDefault="00F25DD2" w:rsidP="00090D75">
            <w:pPr>
              <w:jc w:val="both"/>
              <w:rPr>
                <w:rFonts w:ascii="Calibri" w:hAnsi="Calibri"/>
              </w:rPr>
            </w:pPr>
            <w:r w:rsidRPr="00E556B6">
              <w:t xml:space="preserve">Extensive training will be provided in </w:t>
            </w:r>
            <w:r>
              <w:t>all</w:t>
            </w:r>
            <w:r w:rsidRPr="00E556B6">
              <w:t xml:space="preserve"> aspects of the fundamentals of nanoparticle manufacture together with physicochemical methods required to optimise the drying methods for the specific requirements of the antigen</w:t>
            </w:r>
            <w:r>
              <w:t>,</w:t>
            </w:r>
            <w:r w:rsidRPr="00E556B6">
              <w:t xml:space="preserve"> and to characterise vaccine products such as </w:t>
            </w:r>
            <w:proofErr w:type="spellStart"/>
            <w:r w:rsidRPr="00E556B6">
              <w:t>mucoadhesion</w:t>
            </w:r>
            <w:proofErr w:type="spellEnd"/>
            <w:r w:rsidRPr="00E556B6">
              <w:t xml:space="preserve"> for nasal delivery</w:t>
            </w:r>
            <w:r>
              <w:t xml:space="preserve">, thermal </w:t>
            </w:r>
            <w:proofErr w:type="gramStart"/>
            <w:r>
              <w:t>stability</w:t>
            </w:r>
            <w:proofErr w:type="gramEnd"/>
            <w:r>
              <w:t xml:space="preserve"> and vaccine potency</w:t>
            </w:r>
            <w:r w:rsidRPr="00E556B6">
              <w:t>.</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06997277" w:rsidR="001B792D" w:rsidRPr="001D5159" w:rsidRDefault="001B792D" w:rsidP="0066260E">
            <w:pPr>
              <w:jc w:val="both"/>
              <w:rPr>
                <w:rFonts w:ascii="Calibri" w:hAnsi="Calibri"/>
              </w:rPr>
            </w:pP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w:altName w:val="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8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158F"/>
    <w:rsid w:val="005A4DBD"/>
    <w:rsid w:val="005B1A39"/>
    <w:rsid w:val="005B5E39"/>
    <w:rsid w:val="005B7F83"/>
    <w:rsid w:val="005D1843"/>
    <w:rsid w:val="005D4DF9"/>
    <w:rsid w:val="005E19CD"/>
    <w:rsid w:val="005F2741"/>
    <w:rsid w:val="005F301D"/>
    <w:rsid w:val="00600DD8"/>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C5DC6"/>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5DD2"/>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F25DD2"/>
    <w:rPr>
      <w:b/>
      <w:bCs/>
    </w:rPr>
  </w:style>
  <w:style w:type="paragraph" w:styleId="NormalWeb">
    <w:name w:val="Normal (Web)"/>
    <w:basedOn w:val="Normal"/>
    <w:uiPriority w:val="99"/>
    <w:unhideWhenUsed/>
    <w:rsid w:val="00F25DD2"/>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2790</Characters>
  <Application>Microsoft Office Word</Application>
  <DocSecurity>0</DocSecurity>
  <Lines>126</Lines>
  <Paragraphs>62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Vicky Kett</cp:lastModifiedBy>
  <cp:revision>5</cp:revision>
  <cp:lastPrinted>2018-11-27T21:36:00Z</cp:lastPrinted>
  <dcterms:created xsi:type="dcterms:W3CDTF">2022-05-17T08:27:00Z</dcterms:created>
  <dcterms:modified xsi:type="dcterms:W3CDTF">2022-05-17T08:35:00Z</dcterms:modified>
</cp:coreProperties>
</file>